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D7584C">
      <w:pPr>
        <w:pStyle w:val="13"/>
        <w:spacing w:after="156" w:afterLines="50"/>
        <w:rPr>
          <w:color w:val="auto"/>
          <w:sz w:val="44"/>
          <w:szCs w:val="44"/>
        </w:rPr>
      </w:pPr>
      <w:r>
        <w:rPr>
          <w:rFonts w:hint="eastAsia"/>
          <w:color w:val="auto"/>
          <w:sz w:val="44"/>
          <w:szCs w:val="44"/>
          <w:lang w:val="en-US" w:eastAsia="zh-CN"/>
        </w:rPr>
        <w:t>冕宁县兴农仓储物流园区建设项目</w:t>
      </w:r>
      <w:r>
        <w:rPr>
          <w:rFonts w:hint="eastAsia"/>
          <w:color w:val="auto"/>
          <w:sz w:val="44"/>
          <w:szCs w:val="44"/>
        </w:rPr>
        <w:t>专项债券</w:t>
      </w:r>
    </w:p>
    <w:p w14:paraId="7A1ACC07">
      <w:pPr>
        <w:pStyle w:val="13"/>
        <w:spacing w:after="624" w:afterLines="200"/>
        <w:rPr>
          <w:color w:val="auto"/>
          <w:sz w:val="44"/>
          <w:szCs w:val="44"/>
        </w:rPr>
      </w:pPr>
      <w:r>
        <w:rPr>
          <w:rFonts w:hint="eastAsia"/>
          <w:color w:val="auto"/>
          <w:sz w:val="44"/>
          <w:szCs w:val="44"/>
        </w:rPr>
        <w:t>项目情况</w:t>
      </w:r>
    </w:p>
    <w:p w14:paraId="2C798596">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一、项目基本情况</w:t>
      </w:r>
    </w:p>
    <w:p w14:paraId="7DB13DE3">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w:t>
      </w:r>
      <w:r>
        <w:rPr>
          <w:rFonts w:hint="eastAsia" w:ascii="楷体_GB2312" w:hAnsi="Calibri" w:eastAsia="楷体_GB2312"/>
          <w:b/>
          <w:color w:val="auto"/>
          <w:sz w:val="32"/>
          <w:szCs w:val="32"/>
          <w:lang w:val="en-US" w:eastAsia="zh-CN"/>
        </w:rPr>
        <w:t>冕宁</w:t>
      </w:r>
      <w:r>
        <w:rPr>
          <w:rFonts w:hint="eastAsia" w:ascii="楷体_GB2312" w:hAnsi="Calibri" w:eastAsia="楷体_GB2312"/>
          <w:b/>
          <w:color w:val="auto"/>
          <w:sz w:val="32"/>
          <w:szCs w:val="32"/>
        </w:rPr>
        <w:t>县及行业专项规划概况</w:t>
      </w:r>
    </w:p>
    <w:p w14:paraId="4E56476F">
      <w:pPr>
        <w:ind w:firstLine="480"/>
        <w:rPr>
          <w:rFonts w:hint="eastAsia" w:cs="仿宋"/>
          <w:color w:val="auto"/>
          <w:highlight w:val="none"/>
        </w:rPr>
      </w:pPr>
      <w:r>
        <w:rPr>
          <w:rFonts w:hint="eastAsia" w:cs="仿宋"/>
          <w:color w:val="auto"/>
          <w:highlight w:val="none"/>
        </w:rPr>
        <w:t>冕宁县，隶属于四川省凉山彝族自治州，地处四川省西南，凉山彝族自治州北部，东依小相岭与越西、喜德两县毗邻，南与西昌、盐源两县(市)接壤，西隔雅砻江、牦牛山北段山脊与木里、九龙两县交界，北至菩萨岗与石棉县相连，总面积4423平方千米。截至2022年10月,冕宁县下辖下辖1个街道、15个镇3个乡。截至2022年末，冕宁县常住人口36.5万人。</w:t>
      </w:r>
    </w:p>
    <w:p w14:paraId="7FDCAC18">
      <w:pPr>
        <w:ind w:firstLine="480" w:firstLineChars="0"/>
        <w:rPr>
          <w:rFonts w:hint="eastAsia" w:cs="仿宋"/>
          <w:color w:val="auto"/>
          <w:highlight w:val="none"/>
          <w:lang w:bidi="ar"/>
        </w:rPr>
      </w:pPr>
      <w:r>
        <w:rPr>
          <w:rFonts w:hint="eastAsia" w:cs="仿宋"/>
          <w:color w:val="auto"/>
          <w:highlight w:val="none"/>
          <w:lang w:bidi="ar"/>
        </w:rPr>
        <w:t>根据《中华人民共和国国民经济和社会发展第十四个五年规划和 2035 年远景目标纲要》，现代物流体系的建设被列为提升全产业链优势的重要一环。各级政策文件，如《“十四五”冷链物流发展规划》和《凉山州“十四五”现代物流业发展规划》，也对冷链物流设施建设和物流服务体系完善提出了明确要求，旨在构建高效、智慧、绿色的物流网络。冕宁县兴农仓储物流园区建设项目的建设与这些政策目标高度契合，符合国家及地区的产业政策导向。</w:t>
      </w:r>
    </w:p>
    <w:p w14:paraId="2F39B53D">
      <w:pPr>
        <w:ind w:firstLine="480" w:firstLineChars="0"/>
        <w:rPr>
          <w:rFonts w:hint="eastAsia" w:cs="仿宋"/>
          <w:color w:val="auto"/>
          <w:highlight w:val="none"/>
          <w:lang w:bidi="ar"/>
        </w:rPr>
      </w:pPr>
      <w:r>
        <w:rPr>
          <w:rFonts w:hint="eastAsia" w:cs="仿宋"/>
          <w:color w:val="auto"/>
          <w:highlight w:val="none"/>
          <w:lang w:bidi="ar"/>
        </w:rPr>
        <w:t>冕宁县兴农仓储物流园区建设项目作为现代物流体系的重要组成部分，长期</w:t>
      </w:r>
    </w:p>
    <w:p w14:paraId="2EC48CFF">
      <w:pPr>
        <w:ind w:firstLine="0" w:firstLineChars="0"/>
        <w:rPr>
          <w:rFonts w:hint="eastAsia" w:cs="仿宋"/>
          <w:color w:val="auto"/>
          <w:highlight w:val="none"/>
          <w:lang w:bidi="ar"/>
        </w:rPr>
      </w:pPr>
      <w:r>
        <w:rPr>
          <w:rFonts w:hint="eastAsia" w:cs="仿宋"/>
          <w:color w:val="auto"/>
          <w:highlight w:val="none"/>
          <w:lang w:bidi="ar"/>
        </w:rPr>
        <w:t>以来冕宁县面临着仓储设施不足、物流效率低下的问题。随着近年来经济的快速发展，现代物流服务的需求不断增加，城镇和农村地区的物流需求急剧上升。无论从国家和地方政策规划的要求、冕宁县的经济发展需求，还是从保障当地经济稳定和应对自然灾害、突发公共卫生事件等角度来看，本项目的建设，正是为了</w:t>
      </w:r>
    </w:p>
    <w:p w14:paraId="52B87C13">
      <w:pPr>
        <w:ind w:firstLine="0" w:firstLineChars="0"/>
        <w:rPr>
          <w:rFonts w:hint="eastAsia" w:cs="仿宋"/>
          <w:color w:val="auto"/>
          <w:highlight w:val="none"/>
          <w:lang w:bidi="ar"/>
        </w:rPr>
      </w:pPr>
      <w:r>
        <w:rPr>
          <w:rFonts w:hint="eastAsia" w:cs="仿宋"/>
          <w:color w:val="auto"/>
          <w:highlight w:val="none"/>
          <w:lang w:bidi="ar"/>
        </w:rPr>
        <w:t>适应新形势下的需求，提升冕宁县的仓储物流服务能力，推动地方经济社会的可持续发展。</w:t>
      </w:r>
    </w:p>
    <w:p w14:paraId="7D8ECAFE">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（二）项目情况</w:t>
      </w:r>
    </w:p>
    <w:p w14:paraId="62DEF95F">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1.参与主体</w:t>
      </w:r>
    </w:p>
    <w:p w14:paraId="3252BBDB">
      <w:pPr>
        <w:ind w:firstLine="480"/>
        <w:rPr>
          <w:rFonts w:hint="default" w:eastAsia="仿宋"/>
          <w:color w:val="auto"/>
          <w:lang w:val="en-US" w:eastAsia="zh-CN" w:bidi="ar"/>
        </w:rPr>
      </w:pPr>
      <w:r>
        <w:rPr>
          <w:rFonts w:hint="eastAsia"/>
          <w:color w:val="auto"/>
          <w:lang w:bidi="ar"/>
        </w:rPr>
        <w:t>实施机构（行业主管部门）：</w:t>
      </w:r>
      <w:r>
        <w:rPr>
          <w:rFonts w:hint="eastAsia"/>
          <w:color w:val="auto"/>
          <w:lang w:val="en-US" w:eastAsia="zh-CN" w:bidi="ar"/>
        </w:rPr>
        <w:t>冕宁县商务经济合作和外事局</w:t>
      </w:r>
    </w:p>
    <w:p w14:paraId="272A4C38">
      <w:pPr>
        <w:ind w:firstLine="480"/>
        <w:rPr>
          <w:color w:val="auto"/>
          <w:lang w:bidi="ar"/>
        </w:rPr>
      </w:pPr>
      <w:r>
        <w:rPr>
          <w:rFonts w:hint="eastAsia"/>
          <w:color w:val="auto"/>
          <w:lang w:bidi="ar"/>
        </w:rPr>
        <w:t>项目业主：</w:t>
      </w:r>
      <w:r>
        <w:rPr>
          <w:rFonts w:hint="eastAsia"/>
          <w:color w:val="auto"/>
          <w:lang w:val="en-US" w:eastAsia="zh-CN" w:bidi="ar"/>
        </w:rPr>
        <w:t>冕宁县凌山启恒物流有限公司</w:t>
      </w:r>
    </w:p>
    <w:p w14:paraId="773FDF9E">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w:t>
      </w:r>
      <w:r>
        <w:rPr>
          <w:rFonts w:ascii="仿宋_GB2312" w:hAnsi="Calibri" w:eastAsia="仿宋_GB2312"/>
          <w:b/>
          <w:color w:val="auto"/>
          <w:sz w:val="32"/>
          <w:szCs w:val="32"/>
        </w:rPr>
        <w:t>.</w:t>
      </w:r>
      <w:r>
        <w:rPr>
          <w:rFonts w:hint="eastAsia" w:ascii="仿宋_GB2312" w:hAnsi="Calibri" w:eastAsia="仿宋_GB2312"/>
          <w:b/>
          <w:color w:val="auto"/>
          <w:sz w:val="32"/>
          <w:szCs w:val="32"/>
        </w:rPr>
        <w:t>项目概况</w:t>
      </w:r>
    </w:p>
    <w:p w14:paraId="549EA353">
      <w:pPr>
        <w:ind w:firstLine="480"/>
        <w:rPr>
          <w:bCs/>
          <w:color w:val="auto"/>
          <w:kern w:val="0"/>
        </w:rPr>
      </w:pPr>
      <w:r>
        <w:rPr>
          <w:rFonts w:hint="eastAsia"/>
          <w:bCs/>
          <w:color w:val="auto"/>
          <w:kern w:val="0"/>
        </w:rPr>
        <w:t>本项目是</w:t>
      </w:r>
      <w:r>
        <w:rPr>
          <w:rFonts w:hint="eastAsia"/>
          <w:bCs/>
          <w:color w:val="auto"/>
          <w:kern w:val="0"/>
          <w:lang w:val="en-US" w:eastAsia="zh-CN"/>
        </w:rPr>
        <w:t>城乡冷链物流设施</w:t>
      </w:r>
      <w:r>
        <w:rPr>
          <w:rFonts w:hint="eastAsia" w:cs="仿宋"/>
          <w:color w:val="auto"/>
          <w:highlight w:val="none"/>
        </w:rPr>
        <w:t>项目</w:t>
      </w:r>
      <w:r>
        <w:rPr>
          <w:rFonts w:hint="eastAsia"/>
          <w:bCs/>
          <w:color w:val="auto"/>
          <w:kern w:val="0"/>
        </w:rPr>
        <w:t>，项目总投资估算为12019.29</w:t>
      </w:r>
      <w:r>
        <w:rPr>
          <w:bCs/>
          <w:color w:val="auto"/>
          <w:kern w:val="0"/>
        </w:rPr>
        <w:t>万元。项目位于</w:t>
      </w:r>
      <w:r>
        <w:rPr>
          <w:rFonts w:hint="eastAsia" w:cs="仿宋"/>
          <w:color w:val="auto"/>
          <w:highlight w:val="none"/>
          <w:lang w:val="en-US" w:eastAsia="zh-CN"/>
        </w:rPr>
        <w:t>冕宁县高阳街道</w:t>
      </w:r>
      <w:r>
        <w:rPr>
          <w:bCs/>
          <w:color w:val="auto"/>
          <w:kern w:val="0"/>
        </w:rPr>
        <w:t>，</w:t>
      </w:r>
      <w:r>
        <w:rPr>
          <w:bCs/>
          <w:color w:val="auto"/>
          <w:kern w:val="0"/>
          <w:highlight w:val="none"/>
        </w:rPr>
        <w:t>规划用地为</w:t>
      </w:r>
      <w:r>
        <w:rPr>
          <w:rFonts w:hint="eastAsia"/>
          <w:bCs/>
          <w:color w:val="auto"/>
          <w:kern w:val="0"/>
          <w:highlight w:val="none"/>
          <w:lang w:val="en-US" w:eastAsia="zh-CN"/>
        </w:rPr>
        <w:t>3.6亩</w:t>
      </w:r>
      <w:r>
        <w:rPr>
          <w:bCs/>
          <w:color w:val="auto"/>
          <w:kern w:val="0"/>
        </w:rPr>
        <w:t>，总</w:t>
      </w:r>
      <w:r>
        <w:rPr>
          <w:rFonts w:hint="eastAsia"/>
          <w:bCs/>
          <w:color w:val="auto"/>
          <w:kern w:val="0"/>
        </w:rPr>
        <w:t>规划总建筑面积约17437m</w:t>
      </w:r>
      <w:r>
        <w:rPr>
          <w:rFonts w:hint="eastAsia"/>
          <w:bCs/>
          <w:color w:val="auto"/>
          <w:kern w:val="0"/>
          <w:vertAlign w:val="superscript"/>
          <w:lang w:val="en-US" w:eastAsia="zh-CN"/>
        </w:rPr>
        <w:t>2</w:t>
      </w:r>
      <w:r>
        <w:rPr>
          <w:rFonts w:hint="eastAsia"/>
          <w:bCs/>
          <w:color w:val="auto"/>
          <w:kern w:val="0"/>
        </w:rPr>
        <w:t>，其中新建物流配送中心2920㎡、1#、2#高标准仓库8395m</w:t>
      </w:r>
      <w:r>
        <w:rPr>
          <w:rFonts w:hint="eastAsia"/>
          <w:bCs/>
          <w:color w:val="auto"/>
          <w:kern w:val="0"/>
          <w:vertAlign w:val="superscript"/>
          <w:lang w:val="en-US" w:eastAsia="zh-CN"/>
        </w:rPr>
        <w:t>2</w:t>
      </w:r>
      <w:r>
        <w:rPr>
          <w:rFonts w:hint="eastAsia"/>
          <w:bCs/>
          <w:color w:val="auto"/>
          <w:kern w:val="0"/>
        </w:rPr>
        <w:t>、分拣包装中心2862m</w:t>
      </w:r>
      <w:r>
        <w:rPr>
          <w:rFonts w:hint="eastAsia"/>
          <w:bCs/>
          <w:color w:val="auto"/>
          <w:kern w:val="0"/>
          <w:vertAlign w:val="superscript"/>
          <w:lang w:val="en-US" w:eastAsia="zh-CN"/>
        </w:rPr>
        <w:t>2</w:t>
      </w:r>
      <w:r>
        <w:rPr>
          <w:rFonts w:hint="eastAsia"/>
          <w:bCs/>
          <w:color w:val="auto"/>
          <w:kern w:val="0"/>
        </w:rPr>
        <w:t>、附属冷链冷库1800m</w:t>
      </w:r>
      <w:r>
        <w:rPr>
          <w:rFonts w:hint="eastAsia"/>
          <w:bCs/>
          <w:color w:val="auto"/>
          <w:kern w:val="0"/>
          <w:vertAlign w:val="superscript"/>
          <w:lang w:val="en-US" w:eastAsia="zh-CN"/>
        </w:rPr>
        <w:t>2</w:t>
      </w:r>
      <w:r>
        <w:rPr>
          <w:rFonts w:hint="eastAsia"/>
          <w:bCs/>
          <w:color w:val="auto"/>
          <w:kern w:val="0"/>
        </w:rPr>
        <w:t>和检验检测中心600m</w:t>
      </w:r>
      <w:r>
        <w:rPr>
          <w:rFonts w:hint="eastAsia"/>
          <w:bCs/>
          <w:color w:val="auto"/>
          <w:kern w:val="0"/>
          <w:vertAlign w:val="superscript"/>
          <w:lang w:val="en-US" w:eastAsia="zh-CN"/>
        </w:rPr>
        <w:t>2</w:t>
      </w:r>
      <w:r>
        <w:rPr>
          <w:rFonts w:hint="eastAsia"/>
          <w:bCs/>
          <w:color w:val="auto"/>
          <w:kern w:val="0"/>
        </w:rPr>
        <w:t>、配套业务用房398m</w:t>
      </w:r>
      <w:r>
        <w:rPr>
          <w:rFonts w:hint="eastAsia"/>
          <w:bCs/>
          <w:color w:val="auto"/>
          <w:kern w:val="0"/>
          <w:vertAlign w:val="superscript"/>
          <w:lang w:val="en-US" w:eastAsia="zh-CN"/>
        </w:rPr>
        <w:t>2</w:t>
      </w:r>
      <w:r>
        <w:rPr>
          <w:rFonts w:hint="eastAsia"/>
          <w:bCs/>
          <w:color w:val="auto"/>
          <w:kern w:val="0"/>
        </w:rPr>
        <w:t>地下建筑面积461m</w:t>
      </w:r>
      <w:r>
        <w:rPr>
          <w:rFonts w:hint="eastAsia"/>
          <w:bCs/>
          <w:color w:val="auto"/>
          <w:kern w:val="0"/>
          <w:vertAlign w:val="superscript"/>
          <w:lang w:val="en-US" w:eastAsia="zh-CN"/>
        </w:rPr>
        <w:t>2</w:t>
      </w:r>
      <w:r>
        <w:rPr>
          <w:rFonts w:hint="eastAsia"/>
          <w:bCs/>
          <w:color w:val="auto"/>
          <w:kern w:val="0"/>
        </w:rPr>
        <w:t>;配套建设室外道路、停车场、充电桩及附属基础工程等</w:t>
      </w:r>
      <w:r>
        <w:rPr>
          <w:bCs/>
          <w:color w:val="auto"/>
          <w:kern w:val="0"/>
        </w:rPr>
        <w:t>。该项目符合控制性详细规划，已取可行性研究报告的批复、</w:t>
      </w:r>
      <w:r>
        <w:rPr>
          <w:rFonts w:hint="eastAsia"/>
          <w:bCs/>
          <w:color w:val="auto"/>
          <w:kern w:val="0"/>
          <w:lang w:val="en-US" w:eastAsia="zh-CN"/>
        </w:rPr>
        <w:t>无需用地</w:t>
      </w:r>
      <w:r>
        <w:rPr>
          <w:bCs/>
          <w:color w:val="auto"/>
          <w:kern w:val="0"/>
        </w:rPr>
        <w:t>等合法合规性文件。</w:t>
      </w:r>
    </w:p>
    <w:p w14:paraId="65C4A5FF">
      <w:pPr>
        <w:pStyle w:val="15"/>
        <w:rPr>
          <w:color w:val="auto"/>
        </w:rPr>
      </w:pPr>
    </w:p>
    <w:p w14:paraId="35991FD8">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二、经济社会效益分析</w:t>
      </w:r>
    </w:p>
    <w:p w14:paraId="6E727E6C">
      <w:pPr>
        <w:ind w:firstLine="480"/>
        <w:rPr>
          <w:bCs/>
          <w:color w:val="auto"/>
          <w:kern w:val="0"/>
        </w:rPr>
      </w:pPr>
      <w:bookmarkStart w:id="0" w:name="OLE_LINK52"/>
      <w:r>
        <w:rPr>
          <w:rFonts w:hint="eastAsia"/>
          <w:bCs/>
          <w:color w:val="auto"/>
          <w:kern w:val="0"/>
        </w:rPr>
        <w:t>在经济效益方面，</w:t>
      </w:r>
      <w:r>
        <w:rPr>
          <w:rFonts w:hint="eastAsia"/>
          <w:bCs/>
          <w:color w:val="auto"/>
          <w:kern w:val="0"/>
          <w:lang w:val="en-US" w:eastAsia="zh-CN"/>
        </w:rPr>
        <w:t>冕宁县兴农仓储物流园区建设项目</w:t>
      </w:r>
      <w:r>
        <w:rPr>
          <w:rFonts w:hint="eastAsia"/>
          <w:bCs/>
          <w:color w:val="auto"/>
          <w:kern w:val="0"/>
        </w:rPr>
        <w:t>总投资估算为12019.29</w:t>
      </w:r>
      <w:r>
        <w:rPr>
          <w:bCs/>
          <w:color w:val="auto"/>
          <w:kern w:val="0"/>
        </w:rPr>
        <w:t>万元。项目建成以后可获得</w:t>
      </w:r>
      <w:r>
        <w:rPr>
          <w:rFonts w:hint="eastAsia"/>
          <w:bCs/>
          <w:color w:val="auto"/>
          <w:kern w:val="0"/>
        </w:rPr>
        <w:t>分拣包装中心出租收入</w:t>
      </w:r>
      <w:r>
        <w:rPr>
          <w:rFonts w:hint="eastAsia"/>
          <w:bCs/>
          <w:color w:val="auto"/>
          <w:kern w:val="0"/>
          <w:lang w:eastAsia="zh-CN"/>
        </w:rPr>
        <w:t>，</w:t>
      </w:r>
      <w:r>
        <w:rPr>
          <w:rFonts w:hint="eastAsia"/>
          <w:bCs/>
          <w:color w:val="auto"/>
          <w:kern w:val="0"/>
        </w:rPr>
        <w:t>物流配送中心出租收入</w:t>
      </w:r>
      <w:r>
        <w:rPr>
          <w:rFonts w:hint="eastAsia"/>
          <w:bCs/>
          <w:color w:val="auto"/>
          <w:kern w:val="0"/>
          <w:lang w:eastAsia="zh-CN"/>
        </w:rPr>
        <w:t>，</w:t>
      </w:r>
      <w:r>
        <w:rPr>
          <w:rFonts w:hint="eastAsia"/>
          <w:bCs/>
          <w:color w:val="auto"/>
          <w:kern w:val="0"/>
        </w:rPr>
        <w:t>高标准仓库出租收入</w:t>
      </w:r>
      <w:r>
        <w:rPr>
          <w:rFonts w:hint="eastAsia"/>
          <w:bCs/>
          <w:color w:val="auto"/>
          <w:kern w:val="0"/>
          <w:lang w:eastAsia="zh-CN"/>
        </w:rPr>
        <w:t>，冷链仓库出租收入，充电桩收入，停车费收入</w:t>
      </w:r>
      <w:r>
        <w:rPr>
          <w:bCs/>
          <w:color w:val="auto"/>
          <w:kern w:val="0"/>
        </w:rPr>
        <w:t>，可实现项目收入总计为</w:t>
      </w:r>
      <w:r>
        <w:rPr>
          <w:rFonts w:hint="eastAsia"/>
          <w:bCs/>
          <w:color w:val="auto"/>
          <w:kern w:val="0"/>
        </w:rPr>
        <w:t>21900.2</w:t>
      </w:r>
      <w:r>
        <w:rPr>
          <w:bCs/>
          <w:color w:val="auto"/>
          <w:kern w:val="0"/>
        </w:rPr>
        <w:t>万元，待本项目全部</w:t>
      </w:r>
      <w:r>
        <w:rPr>
          <w:rFonts w:hint="eastAsia"/>
          <w:color w:val="auto"/>
          <w:highlight w:val="none"/>
        </w:rPr>
        <w:t>6400.00</w:t>
      </w:r>
      <w:r>
        <w:rPr>
          <w:bCs/>
          <w:color w:val="auto"/>
          <w:kern w:val="0"/>
        </w:rPr>
        <w:t>万元专项债到期时，在偿还到期的债券本息后，将仍有</w:t>
      </w:r>
      <w:r>
        <w:rPr>
          <w:rFonts w:hint="eastAsia"/>
          <w:bCs/>
          <w:color w:val="auto"/>
          <w:kern w:val="0"/>
        </w:rPr>
        <w:t>3129.95</w:t>
      </w:r>
      <w:r>
        <w:rPr>
          <w:bCs/>
          <w:color w:val="auto"/>
          <w:kern w:val="0"/>
        </w:rPr>
        <w:t>万元的累计现金结余。其中：项目债券本息覆盖倍数为1.</w:t>
      </w:r>
      <w:r>
        <w:rPr>
          <w:rFonts w:hint="eastAsia"/>
          <w:bCs/>
          <w:color w:val="auto"/>
          <w:kern w:val="0"/>
          <w:lang w:val="en-US" w:eastAsia="zh-CN"/>
        </w:rPr>
        <w:t>23</w:t>
      </w:r>
      <w:r>
        <w:rPr>
          <w:bCs/>
          <w:color w:val="auto"/>
          <w:kern w:val="0"/>
        </w:rPr>
        <w:t>倍。预期实现的运营净收入能够合理保障偿还融资本金和利息,能够实现项目收益和融资自求平衡。</w:t>
      </w:r>
      <w:r>
        <w:rPr>
          <w:rFonts w:hint="eastAsia"/>
          <w:bCs/>
          <w:color w:val="auto"/>
          <w:kern w:val="0"/>
        </w:rPr>
        <w:t>冕宁县的“十四五”规划中指出要着力建设现代化农业体系，推进农业供给侧结构性改革，提升农业生产效率和产品质量。兴农仓储物流园区的建设，将通过合理的用地功能布局和高效的物流体系，成为冕宁县的农业现代化及农产品流通中心。项目的建设将有效地提升冕宁县农产品的市场竞争力，改善农产品流通条件，提高农产品的附加值。同时，通过完善冷链物流设施，可以减少农产品在流通环节的损耗，保障农产品的新鲜度和质量，进一步推动当地农业的现代化发展，改善农民的生产生活条件，提高农民收入。</w:t>
      </w:r>
    </w:p>
    <w:p w14:paraId="55077FEC">
      <w:pPr>
        <w:ind w:firstLine="480"/>
        <w:rPr>
          <w:color w:val="auto"/>
        </w:rPr>
      </w:pPr>
      <w:r>
        <w:rPr>
          <w:rFonts w:hint="eastAsia"/>
          <w:bCs/>
          <w:color w:val="auto"/>
          <w:kern w:val="0"/>
        </w:rPr>
        <w:t>在社会效益方面，项目的建设有助于优化当地三产融合布局，建设优势产业带和特色农产品优势区，延长农业产业链条，发展各具特色的现代乡村富民产业。通过项目的实施，可以进一步优化产业配套，提升区域基础设施建设水平，推动生产与配送结合和产业链再造，提高农产品加工业和农业生产性服务业发展水平。同时，项目建设还可以辐射壮大休闲农业、乡村旅游等特色产业，完善利益联结机制，让农民更多地分享产业增值收益。这样不仅有助于提升冕宁县的整体经济水平，还能有效地推进乡村振兴，助力城乡一体化发展。</w:t>
      </w:r>
    </w:p>
    <w:bookmarkEnd w:id="0"/>
    <w:p w14:paraId="34D719D3">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三、项目投资估算及资金筹措方案</w:t>
      </w:r>
    </w:p>
    <w:p w14:paraId="1221BF11">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（一）投资估算</w:t>
      </w:r>
    </w:p>
    <w:p w14:paraId="25795D83">
      <w:pPr>
        <w:widowControl/>
        <w:ind w:firstLine="480" w:firstLineChars="200"/>
        <w:jc w:val="left"/>
        <w:rPr>
          <w:color w:val="auto"/>
        </w:rPr>
      </w:pPr>
      <w:r>
        <w:rPr>
          <w:rFonts w:hint="eastAsia"/>
          <w:color w:val="auto"/>
        </w:rPr>
        <w:t>项目总投资估算为</w:t>
      </w:r>
      <w:r>
        <w:rPr>
          <w:rFonts w:ascii="仿宋" w:hAnsi="仿宋" w:eastAsia="仿宋" w:cs="仿宋"/>
          <w:color w:val="auto"/>
          <w:kern w:val="0"/>
          <w:sz w:val="24"/>
          <w:szCs w:val="24"/>
          <w:lang w:val="en-US" w:eastAsia="zh-CN" w:bidi="ar"/>
        </w:rPr>
        <w:t>12019.29</w:t>
      </w:r>
      <w:r>
        <w:rPr>
          <w:color w:val="auto"/>
        </w:rPr>
        <w:t>万元，其中工程费用为</w:t>
      </w:r>
      <w:r>
        <w:rPr>
          <w:rFonts w:ascii="仿宋" w:hAnsi="仿宋" w:eastAsia="仿宋" w:cs="仿宋"/>
          <w:color w:val="auto"/>
          <w:kern w:val="0"/>
          <w:sz w:val="24"/>
          <w:szCs w:val="24"/>
          <w:lang w:val="en-US" w:eastAsia="zh-CN" w:bidi="ar"/>
        </w:rPr>
        <w:t>8999.61</w:t>
      </w:r>
      <w:r>
        <w:rPr>
          <w:color w:val="auto"/>
        </w:rPr>
        <w:t>万元，工程建设其他费用为</w:t>
      </w:r>
      <w:r>
        <w:rPr>
          <w:rFonts w:ascii="仿宋" w:hAnsi="仿宋" w:eastAsia="仿宋" w:cs="仿宋"/>
          <w:color w:val="auto"/>
          <w:kern w:val="0"/>
          <w:sz w:val="24"/>
          <w:szCs w:val="24"/>
          <w:lang w:val="en-US" w:eastAsia="zh-CN" w:bidi="ar"/>
        </w:rPr>
        <w:t>1729.64</w:t>
      </w:r>
      <w:r>
        <w:rPr>
          <w:color w:val="auto"/>
        </w:rPr>
        <w:t>元，基本预备费</w:t>
      </w:r>
      <w:r>
        <w:rPr>
          <w:rFonts w:ascii="仿宋" w:hAnsi="仿宋" w:eastAsia="仿宋" w:cs="仿宋"/>
          <w:color w:val="auto"/>
          <w:kern w:val="0"/>
          <w:sz w:val="24"/>
          <w:szCs w:val="24"/>
          <w:lang w:val="en-US" w:eastAsia="zh-CN" w:bidi="ar"/>
        </w:rPr>
        <w:t>1078.84</w:t>
      </w:r>
      <w:r>
        <w:rPr>
          <w:color w:val="auto"/>
        </w:rPr>
        <w:t>万元，建设期融资利息</w:t>
      </w:r>
      <w:r>
        <w:rPr>
          <w:rFonts w:hint="eastAsia"/>
          <w:color w:val="auto"/>
          <w:highlight w:val="none"/>
          <w:lang w:val="en-US" w:eastAsia="zh-CN"/>
        </w:rPr>
        <w:t>2040.00</w:t>
      </w:r>
      <w:r>
        <w:rPr>
          <w:color w:val="auto"/>
        </w:rPr>
        <w:t>万元，债券发行费为</w:t>
      </w:r>
      <w:r>
        <w:rPr>
          <w:rFonts w:ascii="仿宋" w:hAnsi="仿宋" w:eastAsia="仿宋" w:cs="仿宋"/>
          <w:color w:val="auto"/>
          <w:kern w:val="0"/>
          <w:sz w:val="24"/>
          <w:szCs w:val="24"/>
          <w:lang w:val="en-US" w:eastAsia="zh-CN" w:bidi="ar"/>
        </w:rPr>
        <w:t>6.40</w:t>
      </w:r>
      <w:r>
        <w:rPr>
          <w:color w:val="auto"/>
        </w:rPr>
        <w:t>万元。</w:t>
      </w:r>
    </w:p>
    <w:p w14:paraId="13820D6C">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（二）资金筹措方案</w:t>
      </w:r>
    </w:p>
    <w:p w14:paraId="0B8D19F6">
      <w:pPr>
        <w:spacing w:line="560" w:lineRule="exact"/>
        <w:ind w:firstLine="643"/>
        <w:rPr>
          <w:rFonts w:ascii="仿宋_GB2312" w:hAnsi="Calibri" w:eastAsia="仿宋_GB2312"/>
          <w:b/>
          <w:color w:val="auto"/>
          <w:sz w:val="32"/>
          <w:szCs w:val="32"/>
        </w:rPr>
      </w:pPr>
      <w:r>
        <w:rPr>
          <w:rFonts w:ascii="仿宋_GB2312" w:hAnsi="Calibri" w:eastAsia="仿宋_GB2312"/>
          <w:b/>
          <w:color w:val="auto"/>
          <w:sz w:val="32"/>
          <w:szCs w:val="32"/>
        </w:rPr>
        <w:t>1.</w:t>
      </w:r>
      <w:r>
        <w:rPr>
          <w:rFonts w:hint="eastAsia" w:ascii="仿宋_GB2312" w:hAnsi="Calibri" w:eastAsia="仿宋_GB2312"/>
          <w:b/>
          <w:color w:val="auto"/>
          <w:sz w:val="32"/>
          <w:szCs w:val="32"/>
        </w:rPr>
        <w:t>资金筹集情况</w:t>
      </w:r>
    </w:p>
    <w:p w14:paraId="6C11C89F">
      <w:pPr>
        <w:keepNext w:val="0"/>
        <w:keepLines w:val="0"/>
        <w:widowControl/>
        <w:suppressLineNumbers w:val="0"/>
        <w:jc w:val="left"/>
        <w:rPr>
          <w:color w:val="auto"/>
        </w:rPr>
      </w:pPr>
      <w:r>
        <w:rPr>
          <w:rFonts w:hint="eastAsia" w:cs="仿宋"/>
          <w:color w:val="auto"/>
          <w:kern w:val="0"/>
          <w:sz w:val="24"/>
          <w:szCs w:val="24"/>
          <w:lang w:val="en-US" w:eastAsia="zh-CN" w:bidi="ar"/>
        </w:rPr>
        <w:t>该项目</w:t>
      </w:r>
      <w:r>
        <w:rPr>
          <w:rFonts w:ascii="仿宋" w:hAnsi="仿宋" w:eastAsia="仿宋" w:cs="仿宋"/>
          <w:color w:val="auto"/>
          <w:kern w:val="0"/>
          <w:sz w:val="24"/>
          <w:szCs w:val="24"/>
          <w:lang w:val="en-US" w:eastAsia="zh-CN" w:bidi="ar"/>
        </w:rPr>
        <w:t>总投资为12019.29万元，资金来源于项目资本金和</w:t>
      </w:r>
      <w:r>
        <w:rPr>
          <w:rFonts w:hint="eastAsia" w:ascii="仿宋" w:hAnsi="仿宋" w:eastAsia="仿宋" w:cs="仿宋"/>
          <w:color w:val="auto"/>
          <w:kern w:val="0"/>
          <w:sz w:val="24"/>
          <w:szCs w:val="24"/>
          <w:lang w:val="en-US" w:eastAsia="zh-CN" w:bidi="ar"/>
        </w:rPr>
        <w:t>发行专项债券。其中：项目资本金5619.29万元，占总投资的46.75%；计划申报发行专项债融资额度6400.00万元（计划分一期发行：第一年申报发行6,400.00万元），占总投资的53.25%</w:t>
      </w:r>
      <w:r>
        <w:rPr>
          <w:rFonts w:hint="eastAsia" w:cs="仿宋"/>
          <w:color w:val="auto"/>
          <w:kern w:val="0"/>
          <w:sz w:val="24"/>
          <w:szCs w:val="24"/>
          <w:lang w:val="en-US" w:eastAsia="zh-CN" w:bidi="ar"/>
        </w:rPr>
        <w:t>，</w:t>
      </w:r>
      <w:r>
        <w:rPr>
          <w:color w:val="auto"/>
        </w:rPr>
        <w:t>融资利率</w:t>
      </w:r>
      <w:r>
        <w:rPr>
          <w:rFonts w:hint="eastAsia"/>
          <w:color w:val="auto"/>
          <w:lang w:val="en-US" w:eastAsia="zh-CN"/>
        </w:rPr>
        <w:t>3.2</w:t>
      </w:r>
      <w:r>
        <w:rPr>
          <w:color w:val="auto"/>
        </w:rPr>
        <w:t>%，期限</w:t>
      </w:r>
      <w:r>
        <w:rPr>
          <w:rFonts w:hint="eastAsia"/>
          <w:color w:val="auto"/>
          <w:lang w:val="en-US" w:eastAsia="zh-CN"/>
        </w:rPr>
        <w:t>3</w:t>
      </w:r>
      <w:r>
        <w:rPr>
          <w:color w:val="auto"/>
        </w:rPr>
        <w:t>0年。</w:t>
      </w:r>
    </w:p>
    <w:p w14:paraId="4F8657E7">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2.资金使用计划</w:t>
      </w:r>
    </w:p>
    <w:p w14:paraId="654F70F6">
      <w:pPr>
        <w:ind w:firstLine="480"/>
        <w:rPr>
          <w:color w:val="auto"/>
        </w:rPr>
      </w:pPr>
      <w:r>
        <w:rPr>
          <w:rFonts w:hint="eastAsia"/>
          <w:color w:val="auto"/>
        </w:rPr>
        <w:t>根据项目建设进度及建设内容和业主的资金安排，项目建设资金将在前</w:t>
      </w:r>
      <w:r>
        <w:rPr>
          <w:rFonts w:hint="eastAsia"/>
          <w:color w:val="auto"/>
          <w:lang w:val="en-US" w:eastAsia="zh-CN"/>
        </w:rPr>
        <w:t>1</w:t>
      </w:r>
      <w:r>
        <w:rPr>
          <w:rFonts w:hint="eastAsia"/>
          <w:color w:val="auto"/>
        </w:rPr>
        <w:t>年投入，建设计划、资金使用与投资计划相匹配。本项目</w:t>
      </w:r>
      <w:r>
        <w:rPr>
          <w:rFonts w:hint="eastAsia"/>
          <w:color w:val="auto"/>
          <w:lang w:bidi="ar"/>
        </w:rPr>
        <w:t>施工划分</w:t>
      </w:r>
      <w:r>
        <w:rPr>
          <w:rFonts w:hint="eastAsia"/>
          <w:color w:val="auto"/>
          <w:lang w:val="en-US" w:eastAsia="zh-CN" w:bidi="ar"/>
        </w:rPr>
        <w:t>2</w:t>
      </w:r>
      <w:r>
        <w:rPr>
          <w:rFonts w:hint="eastAsia"/>
          <w:color w:val="auto"/>
          <w:lang w:bidi="ar"/>
        </w:rPr>
        <w:t>个阶段，耗时</w:t>
      </w:r>
      <w:r>
        <w:rPr>
          <w:rFonts w:hint="eastAsia"/>
          <w:color w:val="auto"/>
          <w:lang w:val="en-US" w:eastAsia="zh-CN" w:bidi="ar"/>
        </w:rPr>
        <w:t>2</w:t>
      </w:r>
      <w:r>
        <w:rPr>
          <w:rFonts w:hint="eastAsia"/>
          <w:color w:val="auto"/>
          <w:lang w:bidi="ar"/>
        </w:rPr>
        <w:t>年</w:t>
      </w:r>
      <w:r>
        <w:rPr>
          <w:rFonts w:hint="eastAsia"/>
          <w:color w:val="auto"/>
        </w:rPr>
        <w:t>（含前期工作时间）。</w:t>
      </w:r>
    </w:p>
    <w:p w14:paraId="35C8B806">
      <w:pPr>
        <w:pStyle w:val="31"/>
        <w:rPr>
          <w:rFonts w:hint="eastAsia"/>
          <w:color w:val="auto"/>
        </w:rPr>
      </w:pPr>
      <w:r>
        <w:rPr>
          <w:rFonts w:hint="eastAsia"/>
          <w:color w:val="auto"/>
          <w:lang w:bidi="ar"/>
        </w:rPr>
        <w:t>资金使用计划表（</w:t>
      </w:r>
      <w:r>
        <w:rPr>
          <w:rFonts w:hint="eastAsia"/>
          <w:color w:val="auto"/>
        </w:rPr>
        <w:t>金额单位：</w:t>
      </w:r>
      <w:r>
        <w:rPr>
          <w:rFonts w:hint="eastAsia"/>
          <w:color w:val="auto"/>
          <w:lang w:val="zh-CN"/>
        </w:rPr>
        <w:t>人民币</w:t>
      </w:r>
      <w:r>
        <w:rPr>
          <w:rFonts w:hint="eastAsia"/>
          <w:color w:val="auto"/>
        </w:rPr>
        <w:t>万元）</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73"/>
        <w:gridCol w:w="1999"/>
        <w:gridCol w:w="1273"/>
        <w:gridCol w:w="2526"/>
        <w:gridCol w:w="1048"/>
      </w:tblGrid>
      <w:tr w14:paraId="5AD67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9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BD8D9">
            <w:pPr>
              <w:keepNext w:val="0"/>
              <w:keepLines w:val="0"/>
              <w:widowControl/>
              <w:suppressLineNumbers w:val="0"/>
              <w:spacing w:line="240" w:lineRule="auto"/>
              <w:ind w:firstLine="0" w:firstLineChars="0"/>
              <w:jc w:val="center"/>
              <w:textAlignment w:val="auto"/>
              <w:rPr>
                <w:rFonts w:hint="eastAsia" w:ascii="仿宋" w:hAnsi="仿宋" w:eastAsia="仿宋" w:cs="宋体"/>
                <w:b w:val="0"/>
                <w:bCs w:val="0"/>
                <w:i w:val="0"/>
                <w:iCs w:val="0"/>
                <w:color w:val="auto"/>
                <w:kern w:val="0"/>
                <w:sz w:val="21"/>
                <w:szCs w:val="21"/>
                <w:highlight w:val="none"/>
                <w:u w:val="none"/>
              </w:rPr>
            </w:pPr>
            <w:r>
              <w:rPr>
                <w:rFonts w:hint="eastAsia" w:ascii="仿宋" w:hAnsi="仿宋" w:eastAsia="仿宋" w:cs="宋体"/>
                <w:b w:val="0"/>
                <w:bCs w:val="0"/>
                <w:i w:val="0"/>
                <w:iCs w:val="0"/>
                <w:color w:val="auto"/>
                <w:kern w:val="0"/>
                <w:sz w:val="21"/>
                <w:szCs w:val="21"/>
                <w:highlight w:val="none"/>
                <w:u w:val="none"/>
                <w:lang w:val="en-US" w:eastAsia="zh-CN" w:bidi="ar"/>
              </w:rPr>
              <w:t>序号</w:t>
            </w:r>
          </w:p>
        </w:tc>
        <w:tc>
          <w:tcPr>
            <w:tcW w:w="12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0282EF">
            <w:pPr>
              <w:keepNext w:val="0"/>
              <w:keepLines w:val="0"/>
              <w:widowControl/>
              <w:suppressLineNumbers w:val="0"/>
              <w:spacing w:line="240" w:lineRule="auto"/>
              <w:ind w:firstLine="0" w:firstLineChars="0"/>
              <w:jc w:val="center"/>
              <w:textAlignment w:val="auto"/>
              <w:rPr>
                <w:rFonts w:hint="eastAsia" w:ascii="仿宋" w:hAnsi="仿宋" w:eastAsia="仿宋" w:cs="宋体"/>
                <w:b w:val="0"/>
                <w:bCs w:val="0"/>
                <w:i w:val="0"/>
                <w:iCs w:val="0"/>
                <w:color w:val="auto"/>
                <w:kern w:val="0"/>
                <w:sz w:val="21"/>
                <w:szCs w:val="21"/>
                <w:highlight w:val="none"/>
                <w:u w:val="none"/>
              </w:rPr>
            </w:pPr>
            <w:r>
              <w:rPr>
                <w:rFonts w:hint="eastAsia" w:ascii="仿宋" w:hAnsi="仿宋" w:eastAsia="仿宋" w:cs="宋体"/>
                <w:b w:val="0"/>
                <w:bCs w:val="0"/>
                <w:i w:val="0"/>
                <w:iCs w:val="0"/>
                <w:color w:val="auto"/>
                <w:kern w:val="0"/>
                <w:sz w:val="21"/>
                <w:szCs w:val="21"/>
                <w:highlight w:val="none"/>
                <w:u w:val="none"/>
                <w:lang w:val="en-US" w:eastAsia="zh-CN" w:bidi="ar"/>
              </w:rPr>
              <w:t>项目名称</w:t>
            </w:r>
          </w:p>
        </w:tc>
        <w:tc>
          <w:tcPr>
            <w:tcW w:w="86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E194A">
            <w:pPr>
              <w:keepNext w:val="0"/>
              <w:keepLines w:val="0"/>
              <w:widowControl/>
              <w:suppressLineNumbers w:val="0"/>
              <w:spacing w:line="240" w:lineRule="auto"/>
              <w:ind w:firstLine="0" w:firstLineChars="0"/>
              <w:jc w:val="center"/>
              <w:textAlignment w:val="auto"/>
              <w:rPr>
                <w:rFonts w:hint="eastAsia" w:ascii="仿宋" w:hAnsi="仿宋" w:eastAsia="仿宋" w:cs="宋体"/>
                <w:b w:val="0"/>
                <w:bCs w:val="0"/>
                <w:i w:val="0"/>
                <w:iCs w:val="0"/>
                <w:color w:val="auto"/>
                <w:kern w:val="0"/>
                <w:sz w:val="21"/>
                <w:szCs w:val="21"/>
                <w:highlight w:val="none"/>
                <w:u w:val="none"/>
              </w:rPr>
            </w:pPr>
            <w:r>
              <w:rPr>
                <w:rFonts w:hint="eastAsia" w:ascii="仿宋" w:hAnsi="仿宋" w:eastAsia="仿宋" w:cs="宋体"/>
                <w:b w:val="0"/>
                <w:bCs w:val="0"/>
                <w:i w:val="0"/>
                <w:iCs w:val="0"/>
                <w:color w:val="auto"/>
                <w:kern w:val="0"/>
                <w:sz w:val="21"/>
                <w:szCs w:val="21"/>
                <w:highlight w:val="none"/>
                <w:u w:val="none"/>
                <w:lang w:val="en-US" w:eastAsia="zh-CN" w:bidi="ar"/>
              </w:rPr>
              <w:t>合计</w:t>
            </w:r>
          </w:p>
        </w:tc>
        <w:tc>
          <w:tcPr>
            <w:tcW w:w="1028" w:type="pct"/>
            <w:tcBorders>
              <w:top w:val="single" w:color="000000" w:sz="4" w:space="0"/>
              <w:left w:val="single" w:color="000000" w:sz="4" w:space="0"/>
              <w:bottom w:val="single" w:color="000000" w:sz="4" w:space="0"/>
              <w:right w:val="nil"/>
            </w:tcBorders>
            <w:shd w:val="clear" w:color="auto" w:fill="auto"/>
            <w:noWrap/>
            <w:vAlign w:val="center"/>
          </w:tcPr>
          <w:p w14:paraId="4F942686">
            <w:pPr>
              <w:keepNext w:val="0"/>
              <w:keepLines w:val="0"/>
              <w:widowControl/>
              <w:suppressLineNumbers w:val="0"/>
              <w:spacing w:line="240" w:lineRule="auto"/>
              <w:ind w:firstLine="0" w:firstLineChars="0"/>
              <w:jc w:val="center"/>
              <w:textAlignment w:val="auto"/>
              <w:rPr>
                <w:rFonts w:hint="eastAsia" w:ascii="仿宋" w:hAnsi="仿宋" w:eastAsia="仿宋" w:cs="宋体"/>
                <w:b w:val="0"/>
                <w:bCs w:val="0"/>
                <w:i w:val="0"/>
                <w:iCs w:val="0"/>
                <w:color w:val="auto"/>
                <w:kern w:val="0"/>
                <w:sz w:val="21"/>
                <w:szCs w:val="21"/>
                <w:highlight w:val="none"/>
                <w:u w:val="none"/>
              </w:rPr>
            </w:pPr>
            <w:r>
              <w:rPr>
                <w:rFonts w:hint="eastAsia" w:ascii="仿宋" w:hAnsi="仿宋" w:eastAsia="仿宋" w:cs="宋体"/>
                <w:b w:val="0"/>
                <w:bCs w:val="0"/>
                <w:i w:val="0"/>
                <w:iCs w:val="0"/>
                <w:color w:val="auto"/>
                <w:kern w:val="0"/>
                <w:sz w:val="21"/>
                <w:szCs w:val="21"/>
                <w:highlight w:val="none"/>
                <w:u w:val="none"/>
                <w:lang w:val="en-US" w:eastAsia="zh-CN" w:bidi="ar"/>
              </w:rPr>
              <w:t>资金来源及分年使用计划</w:t>
            </w:r>
          </w:p>
        </w:tc>
        <w:tc>
          <w:tcPr>
            <w:tcW w:w="7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7EC3E">
            <w:pPr>
              <w:keepNext w:val="0"/>
              <w:keepLines w:val="0"/>
              <w:widowControl/>
              <w:suppressLineNumbers w:val="0"/>
              <w:spacing w:line="240" w:lineRule="auto"/>
              <w:ind w:firstLine="0" w:firstLineChars="0"/>
              <w:jc w:val="center"/>
              <w:textAlignment w:val="auto"/>
              <w:rPr>
                <w:rFonts w:hint="eastAsia" w:ascii="仿宋" w:hAnsi="仿宋" w:eastAsia="仿宋" w:cs="宋体"/>
                <w:b w:val="0"/>
                <w:bCs w:val="0"/>
                <w:i w:val="0"/>
                <w:iCs w:val="0"/>
                <w:color w:val="auto"/>
                <w:kern w:val="0"/>
                <w:sz w:val="21"/>
                <w:szCs w:val="21"/>
                <w:highlight w:val="none"/>
                <w:u w:val="none"/>
              </w:rPr>
            </w:pPr>
            <w:r>
              <w:rPr>
                <w:rFonts w:hint="eastAsia" w:ascii="仿宋" w:hAnsi="仿宋" w:eastAsia="仿宋" w:cs="宋体"/>
                <w:b w:val="0"/>
                <w:bCs w:val="0"/>
                <w:i w:val="0"/>
                <w:iCs w:val="0"/>
                <w:color w:val="auto"/>
                <w:kern w:val="0"/>
                <w:sz w:val="21"/>
                <w:szCs w:val="21"/>
                <w:highlight w:val="none"/>
                <w:u w:val="none"/>
                <w:lang w:val="en-US" w:eastAsia="zh-CN" w:bidi="ar"/>
              </w:rPr>
              <w:t>比例</w:t>
            </w:r>
          </w:p>
        </w:tc>
      </w:tr>
      <w:tr w14:paraId="31F5F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9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6657B">
            <w:pPr>
              <w:jc w:val="center"/>
              <w:rPr>
                <w:rFonts w:hint="eastAsia" w:ascii="仿宋" w:hAnsi="仿宋" w:eastAsia="仿宋" w:cs="宋体"/>
                <w:b w:val="0"/>
                <w:bCs w:val="0"/>
                <w:i w:val="0"/>
                <w:iCs w:val="0"/>
                <w:color w:val="auto"/>
                <w:kern w:val="0"/>
                <w:sz w:val="21"/>
                <w:szCs w:val="21"/>
                <w:highlight w:val="none"/>
                <w:u w:val="none"/>
              </w:rPr>
            </w:pPr>
          </w:p>
        </w:tc>
        <w:tc>
          <w:tcPr>
            <w:tcW w:w="12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83FDD">
            <w:pPr>
              <w:jc w:val="center"/>
              <w:rPr>
                <w:rFonts w:hint="eastAsia" w:ascii="仿宋" w:hAnsi="仿宋" w:eastAsia="仿宋" w:cs="宋体"/>
                <w:b w:val="0"/>
                <w:bCs w:val="0"/>
                <w:i w:val="0"/>
                <w:iCs w:val="0"/>
                <w:color w:val="auto"/>
                <w:kern w:val="0"/>
                <w:sz w:val="21"/>
                <w:szCs w:val="21"/>
                <w:highlight w:val="none"/>
                <w:u w:val="none"/>
              </w:rPr>
            </w:pPr>
          </w:p>
        </w:tc>
        <w:tc>
          <w:tcPr>
            <w:tcW w:w="86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238F2">
            <w:pPr>
              <w:jc w:val="center"/>
              <w:rPr>
                <w:rFonts w:hint="eastAsia" w:ascii="仿宋" w:hAnsi="仿宋" w:eastAsia="仿宋" w:cs="宋体"/>
                <w:b w:val="0"/>
                <w:bCs w:val="0"/>
                <w:i w:val="0"/>
                <w:iCs w:val="0"/>
                <w:color w:val="auto"/>
                <w:kern w:val="0"/>
                <w:sz w:val="21"/>
                <w:szCs w:val="21"/>
                <w:highlight w:val="none"/>
                <w:u w:val="none"/>
              </w:rPr>
            </w:pP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D6BF9">
            <w:pPr>
              <w:keepNext w:val="0"/>
              <w:keepLines w:val="0"/>
              <w:widowControl/>
              <w:suppressLineNumbers w:val="0"/>
              <w:spacing w:line="240" w:lineRule="auto"/>
              <w:ind w:firstLine="0" w:firstLineChars="0"/>
              <w:jc w:val="center"/>
              <w:textAlignment w:val="auto"/>
              <w:rPr>
                <w:rFonts w:hint="eastAsia" w:ascii="仿宋" w:hAnsi="仿宋" w:eastAsia="仿宋" w:cs="宋体"/>
                <w:b w:val="0"/>
                <w:bCs w:val="0"/>
                <w:i w:val="0"/>
                <w:iCs w:val="0"/>
                <w:color w:val="auto"/>
                <w:kern w:val="0"/>
                <w:sz w:val="21"/>
                <w:szCs w:val="21"/>
                <w:highlight w:val="none"/>
                <w:u w:val="none"/>
              </w:rPr>
            </w:pPr>
            <w:r>
              <w:rPr>
                <w:rFonts w:hint="eastAsia" w:ascii="仿宋" w:hAnsi="仿宋" w:eastAsia="仿宋" w:cs="宋体"/>
                <w:b w:val="0"/>
                <w:bCs w:val="0"/>
                <w:i w:val="0"/>
                <w:iCs w:val="0"/>
                <w:color w:val="auto"/>
                <w:kern w:val="0"/>
                <w:sz w:val="21"/>
                <w:szCs w:val="21"/>
                <w:highlight w:val="none"/>
                <w:u w:val="none"/>
                <w:lang w:val="en-US" w:eastAsia="zh-CN" w:bidi="ar"/>
              </w:rPr>
              <w:t>第一年</w:t>
            </w:r>
          </w:p>
        </w:tc>
        <w:tc>
          <w:tcPr>
            <w:tcW w:w="7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FA709">
            <w:pPr>
              <w:jc w:val="center"/>
              <w:rPr>
                <w:rFonts w:hint="eastAsia" w:ascii="仿宋" w:hAnsi="仿宋" w:eastAsia="仿宋" w:cs="宋体"/>
                <w:b w:val="0"/>
                <w:bCs w:val="0"/>
                <w:i w:val="0"/>
                <w:iCs w:val="0"/>
                <w:color w:val="auto"/>
                <w:kern w:val="0"/>
                <w:sz w:val="21"/>
                <w:szCs w:val="21"/>
                <w:highlight w:val="none"/>
                <w:u w:val="none"/>
              </w:rPr>
            </w:pPr>
          </w:p>
        </w:tc>
      </w:tr>
      <w:tr w14:paraId="528E3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9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9AA76">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项目投资</w:t>
            </w:r>
          </w:p>
        </w:tc>
        <w:tc>
          <w:tcPr>
            <w:tcW w:w="1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4E618">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项目建设总投资</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398A2">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11808.09 </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27FD9">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11808.09 </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B72AB">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98.23%</w:t>
            </w:r>
          </w:p>
        </w:tc>
      </w:tr>
      <w:tr w14:paraId="34D7B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9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D2BCD">
            <w:pPr>
              <w:jc w:val="center"/>
              <w:rPr>
                <w:rFonts w:hint="eastAsia" w:ascii="仿宋" w:hAnsi="仿宋" w:eastAsia="仿宋" w:cs="宋体"/>
                <w:i w:val="0"/>
                <w:iCs w:val="0"/>
                <w:color w:val="auto"/>
                <w:kern w:val="0"/>
                <w:sz w:val="21"/>
                <w:szCs w:val="21"/>
                <w:highlight w:val="none"/>
                <w:u w:val="none"/>
              </w:rPr>
            </w:pPr>
          </w:p>
        </w:tc>
        <w:tc>
          <w:tcPr>
            <w:tcW w:w="1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11A3A">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项目建设期发债利息</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D5BC3">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204.80 </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8B045">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204.80 </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D263A">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1.70%</w:t>
            </w:r>
          </w:p>
        </w:tc>
      </w:tr>
      <w:tr w14:paraId="35E0A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9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96556">
            <w:pPr>
              <w:jc w:val="center"/>
              <w:rPr>
                <w:rFonts w:hint="eastAsia" w:ascii="仿宋" w:hAnsi="仿宋" w:eastAsia="仿宋" w:cs="宋体"/>
                <w:i w:val="0"/>
                <w:iCs w:val="0"/>
                <w:color w:val="auto"/>
                <w:kern w:val="0"/>
                <w:sz w:val="21"/>
                <w:szCs w:val="21"/>
                <w:highlight w:val="none"/>
                <w:u w:val="none"/>
              </w:rPr>
            </w:pPr>
          </w:p>
        </w:tc>
        <w:tc>
          <w:tcPr>
            <w:tcW w:w="1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D99FC">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债券发行费</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57C6C">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6.40 </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B5224">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6.40 </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5B33B">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0.05%</w:t>
            </w:r>
          </w:p>
        </w:tc>
      </w:tr>
      <w:tr w14:paraId="22F8B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9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2A19C">
            <w:pPr>
              <w:jc w:val="center"/>
              <w:rPr>
                <w:rFonts w:hint="eastAsia" w:ascii="仿宋" w:hAnsi="仿宋" w:eastAsia="仿宋" w:cs="宋体"/>
                <w:i w:val="0"/>
                <w:iCs w:val="0"/>
                <w:color w:val="auto"/>
                <w:kern w:val="0"/>
                <w:sz w:val="21"/>
                <w:szCs w:val="21"/>
                <w:highlight w:val="none"/>
                <w:u w:val="none"/>
              </w:rPr>
            </w:pPr>
          </w:p>
        </w:tc>
        <w:tc>
          <w:tcPr>
            <w:tcW w:w="1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D4F3D">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项目总投资</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DC21">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12019.29 </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CF2CD">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12019.29 </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66B44">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99.98%</w:t>
            </w:r>
          </w:p>
        </w:tc>
      </w:tr>
      <w:tr w14:paraId="37B74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9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C13AE">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资金使用计划</w:t>
            </w:r>
          </w:p>
        </w:tc>
        <w:tc>
          <w:tcPr>
            <w:tcW w:w="1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FD716">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资本金</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1E842">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5619.29 </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9E150">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5619.29 </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D3C00">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46.75%</w:t>
            </w:r>
          </w:p>
        </w:tc>
      </w:tr>
      <w:tr w14:paraId="39803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9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B1328">
            <w:pPr>
              <w:jc w:val="center"/>
              <w:rPr>
                <w:rFonts w:hint="eastAsia" w:ascii="仿宋" w:hAnsi="仿宋" w:eastAsia="仿宋" w:cs="宋体"/>
                <w:i w:val="0"/>
                <w:iCs w:val="0"/>
                <w:color w:val="auto"/>
                <w:kern w:val="0"/>
                <w:sz w:val="21"/>
                <w:szCs w:val="21"/>
                <w:highlight w:val="none"/>
                <w:u w:val="none"/>
              </w:rPr>
            </w:pPr>
          </w:p>
        </w:tc>
        <w:tc>
          <w:tcPr>
            <w:tcW w:w="1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5A2B3">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发行债券</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F2E5A">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6400.00 </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1E1C2">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6400.00 </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CFEDF">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53.25%</w:t>
            </w:r>
          </w:p>
        </w:tc>
      </w:tr>
      <w:tr w14:paraId="6DC34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9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67A5A">
            <w:pPr>
              <w:jc w:val="center"/>
              <w:rPr>
                <w:rFonts w:hint="eastAsia" w:ascii="仿宋" w:hAnsi="仿宋" w:eastAsia="仿宋" w:cs="宋体"/>
                <w:i w:val="0"/>
                <w:iCs w:val="0"/>
                <w:color w:val="auto"/>
                <w:kern w:val="0"/>
                <w:sz w:val="21"/>
                <w:szCs w:val="21"/>
                <w:highlight w:val="none"/>
                <w:u w:val="none"/>
              </w:rPr>
            </w:pPr>
          </w:p>
        </w:tc>
        <w:tc>
          <w:tcPr>
            <w:tcW w:w="1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BE37C">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资金使用合计</w:t>
            </w:r>
          </w:p>
        </w:tc>
        <w:tc>
          <w:tcPr>
            <w:tcW w:w="8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82678">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12019.29 </w:t>
            </w:r>
          </w:p>
        </w:tc>
        <w:tc>
          <w:tcPr>
            <w:tcW w:w="10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24092">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 xml:space="preserve">12019.29 </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7D842">
            <w:pPr>
              <w:keepNext w:val="0"/>
              <w:keepLines w:val="0"/>
              <w:widowControl/>
              <w:suppressLineNumbers w:val="0"/>
              <w:spacing w:line="240" w:lineRule="auto"/>
              <w:ind w:firstLine="0" w:firstLineChars="0"/>
              <w:jc w:val="center"/>
              <w:textAlignment w:val="auto"/>
              <w:rPr>
                <w:rFonts w:hint="eastAsia" w:ascii="仿宋" w:hAnsi="仿宋" w:eastAsia="仿宋" w:cs="宋体"/>
                <w:i w:val="0"/>
                <w:iCs w:val="0"/>
                <w:color w:val="auto"/>
                <w:kern w:val="0"/>
                <w:sz w:val="21"/>
                <w:szCs w:val="21"/>
                <w:highlight w:val="none"/>
                <w:u w:val="none"/>
              </w:rPr>
            </w:pPr>
            <w:r>
              <w:rPr>
                <w:rFonts w:hint="eastAsia" w:ascii="仿宋" w:hAnsi="仿宋" w:eastAsia="仿宋" w:cs="宋体"/>
                <w:i w:val="0"/>
                <w:iCs w:val="0"/>
                <w:color w:val="auto"/>
                <w:kern w:val="0"/>
                <w:sz w:val="21"/>
                <w:szCs w:val="21"/>
                <w:highlight w:val="none"/>
                <w:u w:val="none"/>
                <w:lang w:val="en-US" w:eastAsia="zh-CN" w:bidi="ar"/>
              </w:rPr>
              <w:t>100.00%</w:t>
            </w:r>
          </w:p>
        </w:tc>
      </w:tr>
    </w:tbl>
    <w:p w14:paraId="198DB6A2">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四、项目预期收益、成本及融资平衡情况</w:t>
      </w:r>
    </w:p>
    <w:p w14:paraId="7A38C8BD">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（一）预期收益</w:t>
      </w:r>
    </w:p>
    <w:p w14:paraId="4C2751C4">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1.项目收入</w:t>
      </w:r>
    </w:p>
    <w:p w14:paraId="51308777">
      <w:pPr>
        <w:pStyle w:val="12"/>
        <w:widowControl/>
        <w:ind w:firstLine="0"/>
        <w:rPr>
          <w:color w:val="auto"/>
        </w:rPr>
      </w:pPr>
      <w:bookmarkStart w:id="1" w:name="_Hlk43423686"/>
      <w:bookmarkStart w:id="2" w:name="_Hlk41910341"/>
      <w:r>
        <w:rPr>
          <w:color w:val="auto"/>
        </w:rPr>
        <w:t>冕宁县兴农仓储物流园区建设</w:t>
      </w:r>
      <w:r>
        <w:rPr>
          <w:rFonts w:hint="eastAsia"/>
          <w:color w:val="auto"/>
          <w:lang w:val="en-US" w:eastAsia="zh-CN"/>
        </w:rPr>
        <w:t>项目</w:t>
      </w:r>
      <w:r>
        <w:rPr>
          <w:rFonts w:hint="eastAsia"/>
          <w:color w:val="auto"/>
        </w:rPr>
        <w:t>收入来源主要为项目建成后</w:t>
      </w:r>
      <w:r>
        <w:rPr>
          <w:rFonts w:hint="eastAsia"/>
          <w:bCs/>
          <w:color w:val="auto"/>
          <w:kern w:val="0"/>
        </w:rPr>
        <w:t>分拣包装中心出租收入</w:t>
      </w:r>
      <w:r>
        <w:rPr>
          <w:rFonts w:hint="eastAsia"/>
          <w:bCs/>
          <w:color w:val="auto"/>
          <w:kern w:val="0"/>
          <w:lang w:eastAsia="zh-CN"/>
        </w:rPr>
        <w:t>，</w:t>
      </w:r>
      <w:r>
        <w:rPr>
          <w:rFonts w:hint="eastAsia"/>
          <w:bCs/>
          <w:color w:val="auto"/>
          <w:kern w:val="0"/>
        </w:rPr>
        <w:t>物流配送中心出租收入</w:t>
      </w:r>
      <w:r>
        <w:rPr>
          <w:rFonts w:hint="eastAsia"/>
          <w:bCs/>
          <w:color w:val="auto"/>
          <w:kern w:val="0"/>
          <w:lang w:eastAsia="zh-CN"/>
        </w:rPr>
        <w:t>，</w:t>
      </w:r>
      <w:r>
        <w:rPr>
          <w:rFonts w:hint="eastAsia"/>
          <w:bCs/>
          <w:color w:val="auto"/>
          <w:kern w:val="0"/>
        </w:rPr>
        <w:t>高标准仓库出租收入</w:t>
      </w:r>
      <w:r>
        <w:rPr>
          <w:rFonts w:hint="eastAsia"/>
          <w:bCs/>
          <w:color w:val="auto"/>
          <w:kern w:val="0"/>
          <w:lang w:eastAsia="zh-CN"/>
        </w:rPr>
        <w:t>，冷链仓库出租收入，充电桩收入，停车费收入</w:t>
      </w:r>
      <w:r>
        <w:rPr>
          <w:rFonts w:hint="eastAsia"/>
          <w:color w:val="auto"/>
        </w:rPr>
        <w:t>。项目运营期内运营收入合计21900.2</w:t>
      </w:r>
      <w:r>
        <w:rPr>
          <w:color w:val="auto"/>
        </w:rPr>
        <w:t>万元，属于专项收入，纳入政府性基金预算管理。项目收入来源有事实依据，整体具有可行性。</w:t>
      </w:r>
    </w:p>
    <w:bookmarkEnd w:id="1"/>
    <w:p w14:paraId="0C4B874A">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2.项目成本</w:t>
      </w:r>
    </w:p>
    <w:p w14:paraId="43E9FC48">
      <w:pPr>
        <w:ind w:firstLine="480"/>
        <w:rPr>
          <w:color w:val="auto"/>
        </w:rPr>
      </w:pPr>
      <w:r>
        <w:rPr>
          <w:rFonts w:hint="eastAsia"/>
          <w:bCs/>
          <w:color w:val="auto"/>
          <w:kern w:val="0"/>
        </w:rPr>
        <w:t>本项目建成后运营期间的成本费用，共计</w:t>
      </w:r>
      <w:r>
        <w:rPr>
          <w:rFonts w:hint="eastAsia"/>
          <w:color w:val="auto"/>
          <w:highlight w:val="none"/>
        </w:rPr>
        <w:t>19580.86</w:t>
      </w:r>
      <w:r>
        <w:rPr>
          <w:bCs/>
          <w:color w:val="auto"/>
          <w:kern w:val="0"/>
        </w:rPr>
        <w:t>万元，主要包括</w:t>
      </w:r>
      <w:r>
        <w:rPr>
          <w:rFonts w:hint="eastAsia"/>
          <w:bCs/>
          <w:color w:val="auto"/>
          <w:kern w:val="0"/>
        </w:rPr>
        <w:t>人员工资及福利费</w:t>
      </w:r>
      <w:r>
        <w:rPr>
          <w:rFonts w:hint="eastAsia"/>
          <w:bCs/>
          <w:color w:val="auto"/>
          <w:kern w:val="0"/>
          <w:lang w:eastAsia="zh-CN"/>
        </w:rPr>
        <w:t>、</w:t>
      </w:r>
      <w:r>
        <w:rPr>
          <w:rFonts w:hint="eastAsia"/>
          <w:bCs/>
          <w:color w:val="auto"/>
          <w:kern w:val="0"/>
        </w:rPr>
        <w:t>动力费</w:t>
      </w:r>
      <w:r>
        <w:rPr>
          <w:rFonts w:hint="eastAsia"/>
          <w:bCs/>
          <w:color w:val="auto"/>
          <w:kern w:val="0"/>
          <w:lang w:eastAsia="zh-CN"/>
        </w:rPr>
        <w:t>、</w:t>
      </w:r>
      <w:r>
        <w:rPr>
          <w:rFonts w:hint="eastAsia"/>
          <w:bCs/>
          <w:color w:val="auto"/>
          <w:kern w:val="0"/>
        </w:rPr>
        <w:t>修缮费</w:t>
      </w:r>
      <w:r>
        <w:rPr>
          <w:rFonts w:hint="eastAsia"/>
          <w:bCs/>
          <w:color w:val="auto"/>
          <w:kern w:val="0"/>
          <w:lang w:eastAsia="zh-CN"/>
        </w:rPr>
        <w:t>、</w:t>
      </w:r>
      <w:r>
        <w:rPr>
          <w:rFonts w:hint="eastAsia"/>
          <w:bCs/>
          <w:color w:val="auto"/>
          <w:kern w:val="0"/>
        </w:rPr>
        <w:t>管理费用</w:t>
      </w:r>
      <w:r>
        <w:rPr>
          <w:rFonts w:hint="eastAsia"/>
          <w:bCs/>
          <w:color w:val="auto"/>
          <w:kern w:val="0"/>
          <w:lang w:eastAsia="zh-CN"/>
        </w:rPr>
        <w:t>、营销费用</w:t>
      </w:r>
      <w:r>
        <w:rPr>
          <w:bCs/>
          <w:color w:val="auto"/>
          <w:kern w:val="0"/>
        </w:rPr>
        <w:t>、其他费用、折旧与摊销、相关税费和利息。</w:t>
      </w:r>
    </w:p>
    <w:p w14:paraId="49E3BD07">
      <w:pPr>
        <w:spacing w:line="560" w:lineRule="exact"/>
        <w:ind w:firstLine="643"/>
        <w:rPr>
          <w:b/>
          <w:bCs/>
          <w:color w:val="auto"/>
        </w:rPr>
      </w:pPr>
      <w:r>
        <w:rPr>
          <w:rFonts w:hint="eastAsia" w:ascii="楷体_GB2312" w:hAnsi="Calibri" w:eastAsia="楷体_GB2312"/>
          <w:b/>
          <w:color w:val="auto"/>
          <w:sz w:val="32"/>
          <w:szCs w:val="32"/>
        </w:rPr>
        <w:t>（二）资金测算平衡情况</w:t>
      </w:r>
    </w:p>
    <w:p w14:paraId="34C1B894">
      <w:pPr>
        <w:widowControl/>
        <w:ind w:firstLine="0"/>
        <w:jc w:val="left"/>
        <w:rPr>
          <w:color w:val="auto"/>
        </w:rPr>
      </w:pPr>
      <w:r>
        <w:rPr>
          <w:rFonts w:hint="eastAsia"/>
          <w:color w:val="auto"/>
        </w:rPr>
        <w:t>冕宁县兴农仓储物流园区建设项目采用政府专项债的方式融资，待本项目全部6400.0</w:t>
      </w:r>
      <w:r>
        <w:rPr>
          <w:rFonts w:hint="eastAsia"/>
          <w:color w:val="auto"/>
          <w:lang w:val="en-US" w:eastAsia="zh-CN"/>
        </w:rPr>
        <w:t>0</w:t>
      </w:r>
      <w:r>
        <w:rPr>
          <w:color w:val="auto"/>
        </w:rPr>
        <w:t>万元专项债券到期时，在偿还当年到期的专项债券本息后，将仍有</w:t>
      </w:r>
      <w:r>
        <w:rPr>
          <w:rFonts w:hint="eastAsia" w:ascii="仿宋" w:hAnsi="仿宋" w:eastAsia="仿宋" w:cs="仿宋"/>
          <w:color w:val="auto"/>
          <w:kern w:val="0"/>
          <w:sz w:val="24"/>
          <w:szCs w:val="24"/>
          <w:lang w:val="en-US" w:eastAsia="zh-CN" w:bidi="ar"/>
        </w:rPr>
        <w:t>3129.95</w:t>
      </w:r>
      <w:r>
        <w:rPr>
          <w:color w:val="auto"/>
        </w:rPr>
        <w:t>万元的累计现金结余，本期债券本息的覆盖率为1.</w:t>
      </w:r>
      <w:r>
        <w:rPr>
          <w:rFonts w:hint="eastAsia"/>
          <w:color w:val="auto"/>
          <w:lang w:val="en-US" w:eastAsia="zh-CN"/>
        </w:rPr>
        <w:t>23</w:t>
      </w:r>
      <w:r>
        <w:rPr>
          <w:color w:val="auto"/>
        </w:rPr>
        <w:t>倍，预期实现的运营净收入能够合理保障偿还融资本金和利息,能够实现项目收益和融资自求平衡。</w:t>
      </w:r>
    </w:p>
    <w:p w14:paraId="7AAC93B5">
      <w:pPr>
        <w:ind w:firstLine="480"/>
        <w:rPr>
          <w:color w:val="auto"/>
        </w:rPr>
      </w:pPr>
      <w:r>
        <w:rPr>
          <w:rFonts w:hint="eastAsia"/>
          <w:color w:val="auto"/>
        </w:rPr>
        <w:t>项目资金测算平衡情况如下表所示：</w:t>
      </w:r>
    </w:p>
    <w:p w14:paraId="245312DA">
      <w:pPr>
        <w:ind w:firstLine="480"/>
        <w:rPr>
          <w:color w:val="auto"/>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16A49846">
      <w:pPr>
        <w:pStyle w:val="31"/>
        <w:rPr>
          <w:rFonts w:hint="eastAsia"/>
          <w:color w:val="auto"/>
        </w:rPr>
      </w:pPr>
      <w:r>
        <w:rPr>
          <w:rFonts w:hint="eastAsia"/>
          <w:color w:val="auto"/>
        </w:rPr>
        <w:t>项目</w:t>
      </w:r>
      <w:r>
        <w:rPr>
          <w:rFonts w:hint="eastAsia"/>
          <w:color w:val="auto"/>
          <w:lang w:val="en-US" w:eastAsia="zh-CN"/>
        </w:rPr>
        <w:t>专项债</w:t>
      </w:r>
      <w:r>
        <w:rPr>
          <w:rFonts w:hint="eastAsia"/>
          <w:color w:val="auto"/>
          <w:lang w:val="en-US" w:eastAsia="zh-Hans"/>
        </w:rPr>
        <w:t>还本付息表</w:t>
      </w:r>
      <w:r>
        <w:rPr>
          <w:rFonts w:hint="eastAsia"/>
          <w:color w:val="auto"/>
        </w:rPr>
        <w:t>（金额单位：人民币万元）</w:t>
      </w:r>
    </w:p>
    <w:tbl>
      <w:tblPr>
        <w:tblStyle w:val="1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4"/>
        <w:gridCol w:w="2596"/>
        <w:gridCol w:w="843"/>
        <w:gridCol w:w="765"/>
        <w:gridCol w:w="765"/>
        <w:gridCol w:w="765"/>
        <w:gridCol w:w="765"/>
        <w:gridCol w:w="765"/>
        <w:gridCol w:w="765"/>
        <w:gridCol w:w="765"/>
        <w:gridCol w:w="765"/>
        <w:gridCol w:w="765"/>
        <w:gridCol w:w="843"/>
        <w:gridCol w:w="844"/>
        <w:gridCol w:w="844"/>
        <w:gridCol w:w="844"/>
        <w:gridCol w:w="1378"/>
      </w:tblGrid>
      <w:tr w14:paraId="39515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7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F532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序号</w:t>
            </w:r>
          </w:p>
        </w:tc>
        <w:tc>
          <w:tcPr>
            <w:tcW w:w="8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721AE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项目</w:t>
            </w:r>
          </w:p>
        </w:tc>
        <w:tc>
          <w:tcPr>
            <w:tcW w:w="2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807F3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合计</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CF86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建设期</w:t>
            </w:r>
          </w:p>
        </w:tc>
        <w:tc>
          <w:tcPr>
            <w:tcW w:w="3481" w:type="pct"/>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7ACABC16">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项目还款期</w:t>
            </w:r>
          </w:p>
        </w:tc>
      </w:tr>
      <w:tr w14:paraId="2BC84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54571">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8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DCD388">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59EC6">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9F13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第1年</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BF31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第2年</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A2BC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第3年</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AD6D6">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第4年</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002D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第5年</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3CD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第6年</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25FE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第7年</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D0C7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第8年</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CDA5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第9年</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5264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第10年</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AF075">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第11年</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F4FA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第12年</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E29E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第13年</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35B01">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 xml:space="preserve"> 第14年</w:t>
            </w:r>
          </w:p>
        </w:tc>
      </w:tr>
      <w:tr w14:paraId="3FB9F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4E7B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一</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D3D4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发行债券（利率）</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14D84">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03E9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BF74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053B5">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86B4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3E64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7415B">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1E8B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8830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C1E2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2097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4791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612A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CED5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F8949">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3.20%</w:t>
            </w:r>
          </w:p>
        </w:tc>
      </w:tr>
      <w:tr w14:paraId="133F7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C00E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1</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666C5">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期初本金金额</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0AC29">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C2032">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7C9E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4DA0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B9376">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8AFA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A6F4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A084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0F64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2FE7B">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46B6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86EC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1D9FC">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969D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83C2C">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r>
      <w:tr w14:paraId="68D94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715F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B9F66">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本年新增本金</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6D15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C555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823C1">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3B907">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8463">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15B00">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8749E">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D10A0">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F3129">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B4662">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6A588">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283F1">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FF403">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59F5">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A918F">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r>
      <w:tr w14:paraId="6D0B6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7A795">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C821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本年应计利息</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1BCE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6144.00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F33F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FAB0D">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F597D">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A30E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4B9F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72DF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1490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245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824DB">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AC5D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57D4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D5A81">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D5DC6">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BF9D6">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r>
      <w:tr w14:paraId="6FA7F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4F0ACD">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E05C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其中：计入建设期利息</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1121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C18A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55C72">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F3011">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3D909">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AE23D">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44CB3">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565BA">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B8277">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0EAE8">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36DC1">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BB006">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48DB4">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6DE05">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166FF">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r>
      <w:tr w14:paraId="35F09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311026">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49BA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计入还款期利息</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045C1">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5939.20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F40CD">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7C755">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F463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6D216">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8F9D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37CC1">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7E14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6BD1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A666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6864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DE3A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6BBC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2D1F6">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CA296">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r>
      <w:tr w14:paraId="7B667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5F56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4</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A0E4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本年还本付息</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CDFF5">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12544.00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9699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5781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FF4E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4A5B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75DC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3CEB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AA24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124F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E3E1B">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5D841">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3AC6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0190D">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61FB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F886C">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r>
      <w:tr w14:paraId="08227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5A947E3">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AE1AC">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还本</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D2D1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A36D6">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6F4DE">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F39D7">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CB64A">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0D934">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0EE76">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73561">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30B79">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E8F53">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13600">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D3D3D">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2A7A2">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0F9DE">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1F6F2">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r>
      <w:tr w14:paraId="333E7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0CA730D">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8269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付息</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984A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6144.00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2B7C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F885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87B3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D02C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BC58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8721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D586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B848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2D4E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CED4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57636">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96E8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BB661">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498BA">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r>
      <w:tr w14:paraId="5E0F6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0D7AD">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5</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8B7E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期末本金金额</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7455B">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10F2D">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0F51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80A1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5120D">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E011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F3E8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2464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F8A6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29EE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C89DD">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783C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D382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00E1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18F3A">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6400.00</w:t>
            </w:r>
          </w:p>
        </w:tc>
      </w:tr>
      <w:tr w14:paraId="7EA90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1C3E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二</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03F9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还款资金来源及还款分析</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8EFE5">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BBB17">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B37BF">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889E7">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9586B">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7F2CE">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3896E">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0799F">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05067">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6865B">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7EBF3">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B9365">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18D5F">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A69C0">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CBEFD">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r>
      <w:tr w14:paraId="50AF9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54FA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1</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E8ED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还款资金来源</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FA83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15469.15</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82B63">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6CA1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265.06</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BB35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312.23</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F091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359.36</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826C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418.99</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3296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420.84</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38F8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427.00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A186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462.11</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504F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460.53</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680D5">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458.93</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1E29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496.59</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AFC9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503.12</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A64A6">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501.38</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C1359">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542.07</w:t>
            </w:r>
          </w:p>
        </w:tc>
      </w:tr>
      <w:tr w14:paraId="2E8C4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916DC">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B5FD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当年净利润-运营收入22%的净收益</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5C12B">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-543.20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DFF6A">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ECC8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-287.09</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81FB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-239.92</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00BED">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-192.79</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0A59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-133.16</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15EAC">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-131.31</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5A556">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-125.15</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D57D1">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-90.04</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337BB">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-91.62</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A908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-93.22</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623A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-55.56</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01A56">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-49.03</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D788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-50.77</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D5985">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-10.08</w:t>
            </w:r>
          </w:p>
        </w:tc>
      </w:tr>
      <w:tr w14:paraId="77E33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AD776">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83FF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债券财务费用</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9EE2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5939.20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CEF01">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6EBD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ECE8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9F25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B983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89AFF">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D587C">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E6C2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9A20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34CFB">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B393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938DC">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708C4">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16B3B">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204.80</w:t>
            </w:r>
          </w:p>
        </w:tc>
      </w:tr>
      <w:tr w14:paraId="36D71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95765">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831" w:type="pct"/>
            <w:tcBorders>
              <w:top w:val="single" w:color="000000" w:sz="4" w:space="0"/>
              <w:left w:val="single" w:color="000000" w:sz="4" w:space="0"/>
              <w:bottom w:val="single" w:color="auto" w:sz="4" w:space="0"/>
              <w:right w:val="single" w:color="000000" w:sz="4" w:space="0"/>
            </w:tcBorders>
            <w:shd w:val="clear" w:color="auto" w:fill="auto"/>
            <w:vAlign w:val="center"/>
          </w:tcPr>
          <w:p w14:paraId="1CD403B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折旧及摊销</w:t>
            </w:r>
          </w:p>
        </w:tc>
        <w:tc>
          <w:tcPr>
            <w:tcW w:w="270"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0FE38E5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10073.15</w:t>
            </w:r>
          </w:p>
        </w:tc>
        <w:tc>
          <w:tcPr>
            <w:tcW w:w="245"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133777A4">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776C54F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245"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65121DA5">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245"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02E2366C">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245"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64E72D1A">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245"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2F671F3B">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245"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1DDFBA95">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245"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678A0CE2">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245"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6D7C7069">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270"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4D026C75">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270"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56825C17">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270"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11E5FDB0">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270"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3B2383CD">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c>
          <w:tcPr>
            <w:tcW w:w="431"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5E4407B3">
            <w:pPr>
              <w:keepNext w:val="0"/>
              <w:keepLines w:val="0"/>
              <w:widowControl/>
              <w:suppressLineNumbers w:val="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347.35</w:t>
            </w:r>
          </w:p>
        </w:tc>
      </w:tr>
      <w:tr w14:paraId="7FD99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D5289F8">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2</w:t>
            </w:r>
          </w:p>
        </w:tc>
        <w:tc>
          <w:tcPr>
            <w:tcW w:w="831" w:type="pct"/>
            <w:tcBorders>
              <w:top w:val="single" w:color="auto" w:sz="4" w:space="0"/>
              <w:left w:val="single" w:color="auto" w:sz="4" w:space="0"/>
              <w:bottom w:val="single" w:color="auto" w:sz="4" w:space="0"/>
              <w:right w:val="single" w:color="auto" w:sz="4" w:space="0"/>
            </w:tcBorders>
            <w:shd w:val="clear" w:color="auto" w:fill="auto"/>
            <w:vAlign w:val="center"/>
          </w:tcPr>
          <w:p w14:paraId="601962A1">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本息偿还分析</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07A2E93E">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50E78699">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14B548BD">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38B0984E">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06B6A3FA">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514D7A1A">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22AA368E">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57238588">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73C4CB19">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7EA26B3F">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26F5C4C2">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569B952">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541C754F">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98EDA14">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14:paraId="50C673CB">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r>
      <w:tr w14:paraId="1FDBB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32F0ED">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831" w:type="pct"/>
            <w:tcBorders>
              <w:top w:val="single" w:color="auto" w:sz="4" w:space="0"/>
              <w:left w:val="single" w:color="000000" w:sz="4" w:space="0"/>
              <w:bottom w:val="single" w:color="000000" w:sz="4" w:space="0"/>
              <w:right w:val="single" w:color="000000" w:sz="4" w:space="0"/>
            </w:tcBorders>
            <w:shd w:val="clear" w:color="auto" w:fill="auto"/>
            <w:vAlign w:val="center"/>
          </w:tcPr>
          <w:p w14:paraId="7B4493F3">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本息覆盖倍数</w:t>
            </w:r>
          </w:p>
        </w:tc>
        <w:tc>
          <w:tcPr>
            <w:tcW w:w="27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1A63D9CE">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5"/>
                <w:szCs w:val="15"/>
                <w:highlight w:val="none"/>
                <w:u w:val="none"/>
                <w:lang w:bidi="ar"/>
              </w:rPr>
            </w:pPr>
            <w:r>
              <w:rPr>
                <w:rFonts w:hint="default" w:ascii="仿宋" w:hAnsi="仿宋" w:eastAsia="仿宋" w:cs="宋体"/>
                <w:b w:val="0"/>
                <w:bCs w:val="0"/>
                <w:i w:val="0"/>
                <w:iCs w:val="0"/>
                <w:color w:val="auto"/>
                <w:kern w:val="0"/>
                <w:sz w:val="15"/>
                <w:szCs w:val="15"/>
                <w:highlight w:val="none"/>
                <w:u w:val="none"/>
                <w:lang w:val="en-US" w:eastAsia="zh-CN" w:bidi="ar"/>
              </w:rPr>
              <w:t>1.23</w:t>
            </w:r>
          </w:p>
        </w:tc>
        <w:tc>
          <w:tcPr>
            <w:tcW w:w="245"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5145C14B">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1FFE9935">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4AF1685A">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4864E548">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14BAC291">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29E1F24E">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3F2D5EF8">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72C109F5">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45"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19A96749">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3965425A">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62DC8CE6">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43FA7BA3">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27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5C7FCDAA">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c>
          <w:tcPr>
            <w:tcW w:w="431"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55EEC05A">
            <w:pPr>
              <w:jc w:val="center"/>
              <w:textAlignment w:val="center"/>
              <w:rPr>
                <w:rFonts w:hint="default" w:ascii="仿宋" w:hAnsi="仿宋" w:eastAsia="仿宋" w:cs="宋体"/>
                <w:b w:val="0"/>
                <w:bCs w:val="0"/>
                <w:i w:val="0"/>
                <w:iCs w:val="0"/>
                <w:color w:val="auto"/>
                <w:kern w:val="0"/>
                <w:sz w:val="15"/>
                <w:szCs w:val="15"/>
                <w:highlight w:val="none"/>
                <w:u w:val="none"/>
                <w:lang w:bidi="ar"/>
              </w:rPr>
            </w:pPr>
          </w:p>
        </w:tc>
      </w:tr>
    </w:tbl>
    <w:p w14:paraId="5D015375">
      <w:pPr>
        <w:pStyle w:val="31"/>
        <w:jc w:val="both"/>
        <w:rPr>
          <w:rFonts w:hint="eastAsia" w:eastAsia="仿宋"/>
          <w:color w:val="auto"/>
          <w:lang w:val="en-US" w:eastAsia="zh-CN"/>
        </w:rPr>
      </w:pPr>
      <w:r>
        <w:rPr>
          <w:rFonts w:hint="eastAsia"/>
          <w:color w:val="auto"/>
          <w:lang w:val="en-US" w:eastAsia="zh-CN"/>
        </w:rPr>
        <w:t>续表：</w:t>
      </w:r>
    </w:p>
    <w:tbl>
      <w:tblPr>
        <w:tblStyle w:val="16"/>
        <w:tblW w:w="4999" w:type="pct"/>
        <w:jc w:val="center"/>
        <w:tblLayout w:type="autofit"/>
        <w:tblCellMar>
          <w:top w:w="0" w:type="dxa"/>
          <w:left w:w="0" w:type="dxa"/>
          <w:bottom w:w="0" w:type="dxa"/>
          <w:right w:w="0" w:type="dxa"/>
        </w:tblCellMar>
      </w:tblPr>
      <w:tblGrid>
        <w:gridCol w:w="450"/>
        <w:gridCol w:w="1778"/>
        <w:gridCol w:w="814"/>
        <w:gridCol w:w="875"/>
        <w:gridCol w:w="823"/>
        <w:gridCol w:w="820"/>
        <w:gridCol w:w="875"/>
        <w:gridCol w:w="875"/>
        <w:gridCol w:w="875"/>
        <w:gridCol w:w="1082"/>
        <w:gridCol w:w="875"/>
        <w:gridCol w:w="875"/>
        <w:gridCol w:w="875"/>
        <w:gridCol w:w="875"/>
        <w:gridCol w:w="875"/>
        <w:gridCol w:w="875"/>
        <w:gridCol w:w="888"/>
      </w:tblGrid>
      <w:tr w14:paraId="025D0162">
        <w:tblPrEx>
          <w:tblCellMar>
            <w:top w:w="0" w:type="dxa"/>
            <w:left w:w="0" w:type="dxa"/>
            <w:bottom w:w="0" w:type="dxa"/>
            <w:right w:w="0" w:type="dxa"/>
          </w:tblCellMar>
        </w:tblPrEx>
        <w:trPr>
          <w:trHeight w:val="283" w:hRule="exact"/>
          <w:jc w:val="center"/>
        </w:trPr>
        <w:tc>
          <w:tcPr>
            <w:tcW w:w="146" w:type="pct"/>
            <w:vMerge w:val="restart"/>
            <w:tcBorders>
              <w:top w:val="single" w:color="000000" w:sz="4" w:space="0"/>
              <w:left w:val="single" w:color="000000" w:sz="4" w:space="0"/>
              <w:bottom w:val="single" w:color="000000" w:sz="4" w:space="0"/>
              <w:right w:val="single" w:color="000000" w:sz="4" w:space="0"/>
            </w:tcBorders>
            <w:noWrap/>
            <w:vAlign w:val="center"/>
          </w:tcPr>
          <w:p w14:paraId="5B7140F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序号</w:t>
            </w:r>
          </w:p>
        </w:tc>
        <w:tc>
          <w:tcPr>
            <w:tcW w:w="577" w:type="pct"/>
            <w:vMerge w:val="restart"/>
            <w:tcBorders>
              <w:top w:val="single" w:color="000000" w:sz="4" w:space="0"/>
              <w:left w:val="single" w:color="000000" w:sz="4" w:space="0"/>
              <w:bottom w:val="single" w:color="000000" w:sz="4" w:space="0"/>
              <w:right w:val="single" w:color="000000" w:sz="4" w:space="0"/>
            </w:tcBorders>
            <w:vAlign w:val="center"/>
          </w:tcPr>
          <w:p w14:paraId="22D6805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项目</w:t>
            </w:r>
          </w:p>
        </w:tc>
        <w:tc>
          <w:tcPr>
            <w:tcW w:w="264" w:type="pct"/>
            <w:vMerge w:val="restart"/>
            <w:tcBorders>
              <w:top w:val="single" w:color="000000" w:sz="4" w:space="0"/>
              <w:left w:val="single" w:color="000000" w:sz="4" w:space="0"/>
              <w:bottom w:val="single" w:color="000000" w:sz="4" w:space="0"/>
              <w:right w:val="single" w:color="000000" w:sz="4" w:space="0"/>
            </w:tcBorders>
            <w:vAlign w:val="center"/>
          </w:tcPr>
          <w:p w14:paraId="1A05D14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合计</w:t>
            </w:r>
          </w:p>
        </w:tc>
        <w:tc>
          <w:tcPr>
            <w:tcW w:w="817" w:type="pct"/>
            <w:gridSpan w:val="3"/>
            <w:tcBorders>
              <w:top w:val="single" w:color="000000" w:sz="4" w:space="0"/>
              <w:left w:val="single" w:color="000000" w:sz="4" w:space="0"/>
              <w:bottom w:val="single" w:color="000000" w:sz="4" w:space="0"/>
              <w:right w:val="single" w:color="000000" w:sz="4" w:space="0"/>
            </w:tcBorders>
            <w:noWrap/>
            <w:vAlign w:val="center"/>
          </w:tcPr>
          <w:p w14:paraId="6C39BA66">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建设期</w:t>
            </w:r>
          </w:p>
        </w:tc>
        <w:tc>
          <w:tcPr>
            <w:tcW w:w="3195" w:type="pct"/>
            <w:gridSpan w:val="11"/>
            <w:tcBorders>
              <w:top w:val="single" w:color="000000" w:sz="4" w:space="0"/>
              <w:left w:val="single" w:color="000000" w:sz="4" w:space="0"/>
              <w:bottom w:val="single" w:color="000000" w:sz="4" w:space="0"/>
              <w:right w:val="single" w:color="000000" w:sz="4" w:space="0"/>
            </w:tcBorders>
            <w:vAlign w:val="center"/>
          </w:tcPr>
          <w:p w14:paraId="7DB0CAB2">
            <w:pPr>
              <w:spacing w:line="240" w:lineRule="auto"/>
              <w:ind w:firstLine="0" w:firstLineChars="0"/>
              <w:jc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项目还款期</w:t>
            </w:r>
          </w:p>
        </w:tc>
      </w:tr>
      <w:tr w14:paraId="1E3B8FF7">
        <w:tblPrEx>
          <w:tblCellMar>
            <w:top w:w="0" w:type="dxa"/>
            <w:left w:w="0" w:type="dxa"/>
            <w:bottom w:w="0" w:type="dxa"/>
            <w:right w:w="0" w:type="dxa"/>
          </w:tblCellMar>
        </w:tblPrEx>
        <w:trPr>
          <w:trHeight w:val="283" w:hRule="exact"/>
          <w:jc w:val="center"/>
        </w:trPr>
        <w:tc>
          <w:tcPr>
            <w:tcW w:w="146" w:type="pct"/>
            <w:vMerge w:val="continue"/>
            <w:tcBorders>
              <w:top w:val="single" w:color="000000" w:sz="4" w:space="0"/>
              <w:left w:val="single" w:color="000000" w:sz="4" w:space="0"/>
              <w:bottom w:val="single" w:color="000000" w:sz="4" w:space="0"/>
              <w:right w:val="single" w:color="000000" w:sz="4" w:space="0"/>
            </w:tcBorders>
            <w:noWrap/>
            <w:vAlign w:val="center"/>
          </w:tcPr>
          <w:p w14:paraId="450AC3AD">
            <w:pPr>
              <w:spacing w:line="240" w:lineRule="auto"/>
              <w:ind w:firstLine="0" w:firstLineChars="0"/>
              <w:jc w:val="center"/>
              <w:rPr>
                <w:rFonts w:cs="宋体"/>
                <w:b w:val="0"/>
                <w:bCs w:val="0"/>
                <w:color w:val="auto"/>
                <w:kern w:val="0"/>
                <w:sz w:val="15"/>
                <w:szCs w:val="15"/>
                <w:highlight w:val="none"/>
                <w:lang w:val="zh-CN" w:bidi="zh-CN"/>
              </w:rPr>
            </w:pPr>
          </w:p>
        </w:tc>
        <w:tc>
          <w:tcPr>
            <w:tcW w:w="577" w:type="pct"/>
            <w:vMerge w:val="continue"/>
            <w:tcBorders>
              <w:top w:val="single" w:color="000000" w:sz="4" w:space="0"/>
              <w:left w:val="single" w:color="000000" w:sz="4" w:space="0"/>
              <w:bottom w:val="single" w:color="000000" w:sz="4" w:space="0"/>
              <w:right w:val="single" w:color="000000" w:sz="4" w:space="0"/>
            </w:tcBorders>
            <w:vAlign w:val="center"/>
          </w:tcPr>
          <w:p w14:paraId="49018ABB">
            <w:pPr>
              <w:spacing w:line="240" w:lineRule="auto"/>
              <w:ind w:firstLine="0" w:firstLineChars="0"/>
              <w:jc w:val="center"/>
              <w:rPr>
                <w:rFonts w:cs="宋体"/>
                <w:b w:val="0"/>
                <w:bCs w:val="0"/>
                <w:color w:val="auto"/>
                <w:kern w:val="0"/>
                <w:sz w:val="15"/>
                <w:szCs w:val="15"/>
                <w:highlight w:val="none"/>
                <w:lang w:val="zh-CN" w:bidi="zh-CN"/>
              </w:rPr>
            </w:pPr>
          </w:p>
        </w:tc>
        <w:tc>
          <w:tcPr>
            <w:tcW w:w="264" w:type="pct"/>
            <w:vMerge w:val="continue"/>
            <w:tcBorders>
              <w:top w:val="single" w:color="000000" w:sz="4" w:space="0"/>
              <w:left w:val="single" w:color="000000" w:sz="4" w:space="0"/>
              <w:bottom w:val="single" w:color="000000" w:sz="4" w:space="0"/>
              <w:right w:val="single" w:color="000000" w:sz="4" w:space="0"/>
            </w:tcBorders>
            <w:vAlign w:val="center"/>
          </w:tcPr>
          <w:p w14:paraId="5B341255">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7B01E0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第1年</w:t>
            </w: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3A7C892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第2年</w:t>
            </w: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56A7316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第3年</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72017A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第4年</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537976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第5年</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0B8971F">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第6年</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548A636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第7年</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C13D91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第8年</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07BC7B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第9年</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7AA2741">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第10年</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5B0A5AE">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第11年</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4D0EAF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第12年</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DD3440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第13年</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2CE6684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 第14年</w:t>
            </w:r>
          </w:p>
        </w:tc>
      </w:tr>
      <w:tr w14:paraId="0E73AC95">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6E0EA93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一</w:t>
            </w:r>
          </w:p>
        </w:tc>
        <w:tc>
          <w:tcPr>
            <w:tcW w:w="577" w:type="pct"/>
            <w:tcBorders>
              <w:top w:val="single" w:color="000000" w:sz="4" w:space="0"/>
              <w:left w:val="single" w:color="000000" w:sz="4" w:space="0"/>
              <w:bottom w:val="single" w:color="000000" w:sz="4" w:space="0"/>
              <w:right w:val="single" w:color="000000" w:sz="4" w:space="0"/>
            </w:tcBorders>
            <w:vAlign w:val="center"/>
          </w:tcPr>
          <w:p w14:paraId="437F269B">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发行债券（利率）</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7FF8F0FB">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C41C3E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5204110F">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010F5E7F">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5A8CCC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7C4F9A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AAAA80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5FFBFF8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186139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FA9666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0C9AD1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402565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8B76BFF">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FB7036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6B0A8A9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w:t>
            </w:r>
          </w:p>
        </w:tc>
      </w:tr>
      <w:tr w14:paraId="68247C1F">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06B08EFF">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w:t>
            </w:r>
          </w:p>
        </w:tc>
        <w:tc>
          <w:tcPr>
            <w:tcW w:w="577" w:type="pct"/>
            <w:tcBorders>
              <w:top w:val="single" w:color="000000" w:sz="4" w:space="0"/>
              <w:left w:val="single" w:color="000000" w:sz="4" w:space="0"/>
              <w:bottom w:val="single" w:color="000000" w:sz="4" w:space="0"/>
              <w:right w:val="single" w:color="000000" w:sz="4" w:space="0"/>
            </w:tcBorders>
            <w:vAlign w:val="center"/>
          </w:tcPr>
          <w:p w14:paraId="3E6A8F53">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期初本金金额</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19092FF5">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0818474">
            <w:pPr>
              <w:spacing w:line="240" w:lineRule="auto"/>
              <w:ind w:firstLine="0" w:firstLineChars="0"/>
              <w:jc w:val="center"/>
              <w:rPr>
                <w:rFonts w:cs="宋体"/>
                <w:b w:val="0"/>
                <w:bCs w:val="0"/>
                <w:color w:val="auto"/>
                <w:kern w:val="0"/>
                <w:sz w:val="15"/>
                <w:szCs w:val="15"/>
                <w:highlight w:val="none"/>
                <w:lang w:val="zh-CN" w:bidi="zh-CN"/>
              </w:rPr>
            </w:pP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53C2FD5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10000.00</w:t>
            </w: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7A7D594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5D6E9D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0D67A8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F26A20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5823718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2C68F8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67DC95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2A22CD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29F990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FBDDE8F">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20FDEF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55E909A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r>
      <w:tr w14:paraId="475095C7">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5ABAA865">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w:t>
            </w:r>
          </w:p>
        </w:tc>
        <w:tc>
          <w:tcPr>
            <w:tcW w:w="577" w:type="pct"/>
            <w:tcBorders>
              <w:top w:val="single" w:color="000000" w:sz="4" w:space="0"/>
              <w:left w:val="single" w:color="000000" w:sz="4" w:space="0"/>
              <w:bottom w:val="single" w:color="000000" w:sz="4" w:space="0"/>
              <w:right w:val="single" w:color="000000" w:sz="4" w:space="0"/>
            </w:tcBorders>
            <w:vAlign w:val="center"/>
          </w:tcPr>
          <w:p w14:paraId="45DB238D">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本年新增本金</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02EFB18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07AC26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10000.00</w:t>
            </w: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4080463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10000.00</w:t>
            </w: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14121B8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5B5B27A">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68CB5E7">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F2B58FB">
            <w:pPr>
              <w:spacing w:line="240" w:lineRule="auto"/>
              <w:ind w:firstLine="0" w:firstLineChars="0"/>
              <w:jc w:val="center"/>
              <w:rPr>
                <w:rFonts w:cs="宋体"/>
                <w:b w:val="0"/>
                <w:bCs w:val="0"/>
                <w:color w:val="auto"/>
                <w:kern w:val="0"/>
                <w:sz w:val="15"/>
                <w:szCs w:val="15"/>
                <w:highlight w:val="none"/>
                <w:lang w:val="zh-CN" w:bidi="zh-CN"/>
              </w:rPr>
            </w:pP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0D01449E">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4B2140E">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EB80878">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529C3F4">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E4F31BF">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F343883">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168E868">
            <w:pPr>
              <w:spacing w:line="240" w:lineRule="auto"/>
              <w:ind w:firstLine="0" w:firstLineChars="0"/>
              <w:jc w:val="center"/>
              <w:rPr>
                <w:rFonts w:cs="宋体"/>
                <w:b w:val="0"/>
                <w:bCs w:val="0"/>
                <w:color w:val="auto"/>
                <w:kern w:val="0"/>
                <w:sz w:val="15"/>
                <w:szCs w:val="15"/>
                <w:highlight w:val="none"/>
                <w:lang w:val="zh-CN" w:bidi="zh-CN"/>
              </w:rPr>
            </w:pP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60A8D06B">
            <w:pPr>
              <w:spacing w:line="240" w:lineRule="auto"/>
              <w:ind w:firstLine="0" w:firstLineChars="0"/>
              <w:jc w:val="center"/>
              <w:rPr>
                <w:rFonts w:cs="宋体"/>
                <w:b w:val="0"/>
                <w:bCs w:val="0"/>
                <w:color w:val="auto"/>
                <w:kern w:val="0"/>
                <w:sz w:val="15"/>
                <w:szCs w:val="15"/>
                <w:highlight w:val="none"/>
                <w:lang w:val="zh-CN" w:bidi="zh-CN"/>
              </w:rPr>
            </w:pPr>
          </w:p>
        </w:tc>
      </w:tr>
      <w:tr w14:paraId="4E96DEF7">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798EC54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w:t>
            </w:r>
          </w:p>
        </w:tc>
        <w:tc>
          <w:tcPr>
            <w:tcW w:w="577" w:type="pct"/>
            <w:tcBorders>
              <w:top w:val="single" w:color="000000" w:sz="4" w:space="0"/>
              <w:left w:val="single" w:color="000000" w:sz="4" w:space="0"/>
              <w:bottom w:val="single" w:color="000000" w:sz="4" w:space="0"/>
              <w:right w:val="single" w:color="000000" w:sz="4" w:space="0"/>
            </w:tcBorders>
            <w:vAlign w:val="center"/>
          </w:tcPr>
          <w:p w14:paraId="7532909A">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本年应计利息</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2FE2482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30600.00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6F5C7E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340.00</w:t>
            </w: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6E03697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680.00</w:t>
            </w: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13F21E6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A8507FF">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C908C6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067A2FE">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22E48DB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51D7C1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72EB26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57F2C2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ACCBA7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B1B38B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E5B55C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70F6FEB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r>
      <w:tr w14:paraId="017A12D1">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bottom"/>
          </w:tcPr>
          <w:p w14:paraId="0CF488F8">
            <w:pPr>
              <w:spacing w:line="240" w:lineRule="auto"/>
              <w:ind w:firstLine="0" w:firstLineChars="0"/>
              <w:jc w:val="center"/>
              <w:rPr>
                <w:rFonts w:cs="宋体"/>
                <w:b w:val="0"/>
                <w:bCs w:val="0"/>
                <w:color w:val="auto"/>
                <w:kern w:val="0"/>
                <w:sz w:val="15"/>
                <w:szCs w:val="15"/>
                <w:highlight w:val="none"/>
                <w:lang w:val="zh-CN" w:bidi="zh-CN"/>
              </w:rPr>
            </w:pPr>
          </w:p>
        </w:tc>
        <w:tc>
          <w:tcPr>
            <w:tcW w:w="577" w:type="pct"/>
            <w:tcBorders>
              <w:top w:val="single" w:color="000000" w:sz="4" w:space="0"/>
              <w:left w:val="single" w:color="000000" w:sz="4" w:space="0"/>
              <w:bottom w:val="single" w:color="000000" w:sz="4" w:space="0"/>
              <w:right w:val="single" w:color="000000" w:sz="4" w:space="0"/>
            </w:tcBorders>
            <w:vAlign w:val="center"/>
          </w:tcPr>
          <w:p w14:paraId="1C374067">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其中：计入建设期利息</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0EAE6CA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2040.00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48A6C0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340.00</w:t>
            </w: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5D600976">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680.00</w:t>
            </w: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4857CC6F">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B4A8C9F">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601A8D9">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8B754B1">
            <w:pPr>
              <w:spacing w:line="240" w:lineRule="auto"/>
              <w:ind w:firstLine="0" w:firstLineChars="0"/>
              <w:jc w:val="center"/>
              <w:rPr>
                <w:rFonts w:cs="宋体"/>
                <w:b w:val="0"/>
                <w:bCs w:val="0"/>
                <w:color w:val="auto"/>
                <w:kern w:val="0"/>
                <w:sz w:val="15"/>
                <w:szCs w:val="15"/>
                <w:highlight w:val="none"/>
                <w:lang w:val="zh-CN" w:bidi="zh-CN"/>
              </w:rPr>
            </w:pP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1C38C532">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8F1E029">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2316C4D">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D146C90">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39598B2">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D0FC0FA">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06B0844">
            <w:pPr>
              <w:spacing w:line="240" w:lineRule="auto"/>
              <w:ind w:firstLine="0" w:firstLineChars="0"/>
              <w:jc w:val="center"/>
              <w:rPr>
                <w:rFonts w:cs="宋体"/>
                <w:b w:val="0"/>
                <w:bCs w:val="0"/>
                <w:color w:val="auto"/>
                <w:kern w:val="0"/>
                <w:sz w:val="15"/>
                <w:szCs w:val="15"/>
                <w:highlight w:val="none"/>
                <w:lang w:val="zh-CN" w:bidi="zh-CN"/>
              </w:rPr>
            </w:pP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3529038D">
            <w:pPr>
              <w:spacing w:line="240" w:lineRule="auto"/>
              <w:ind w:firstLine="0" w:firstLineChars="0"/>
              <w:jc w:val="center"/>
              <w:rPr>
                <w:rFonts w:cs="宋体"/>
                <w:b w:val="0"/>
                <w:bCs w:val="0"/>
                <w:color w:val="auto"/>
                <w:kern w:val="0"/>
                <w:sz w:val="15"/>
                <w:szCs w:val="15"/>
                <w:highlight w:val="none"/>
                <w:lang w:val="zh-CN" w:bidi="zh-CN"/>
              </w:rPr>
            </w:pPr>
          </w:p>
        </w:tc>
      </w:tr>
      <w:tr w14:paraId="5F5698A3">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bottom"/>
          </w:tcPr>
          <w:p w14:paraId="43308031">
            <w:pPr>
              <w:spacing w:line="240" w:lineRule="auto"/>
              <w:ind w:firstLine="0" w:firstLineChars="0"/>
              <w:jc w:val="center"/>
              <w:rPr>
                <w:rFonts w:cs="宋体"/>
                <w:b w:val="0"/>
                <w:bCs w:val="0"/>
                <w:color w:val="auto"/>
                <w:kern w:val="0"/>
                <w:sz w:val="15"/>
                <w:szCs w:val="15"/>
                <w:highlight w:val="none"/>
                <w:lang w:val="zh-CN" w:bidi="zh-CN"/>
              </w:rPr>
            </w:pPr>
          </w:p>
        </w:tc>
        <w:tc>
          <w:tcPr>
            <w:tcW w:w="577" w:type="pct"/>
            <w:tcBorders>
              <w:top w:val="single" w:color="000000" w:sz="4" w:space="0"/>
              <w:left w:val="single" w:color="000000" w:sz="4" w:space="0"/>
              <w:bottom w:val="single" w:color="000000" w:sz="4" w:space="0"/>
              <w:right w:val="single" w:color="000000" w:sz="4" w:space="0"/>
            </w:tcBorders>
            <w:vAlign w:val="center"/>
          </w:tcPr>
          <w:p w14:paraId="36B2AE58">
            <w:pPr>
              <w:widowControl/>
              <w:spacing w:line="240" w:lineRule="auto"/>
              <w:ind w:firstLine="0" w:firstLineChars="0"/>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计入还款期利息</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7FD7436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28560.00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041B3AB">
            <w:pPr>
              <w:spacing w:line="240" w:lineRule="auto"/>
              <w:ind w:firstLine="0" w:firstLineChars="0"/>
              <w:jc w:val="center"/>
              <w:rPr>
                <w:rFonts w:cs="宋体"/>
                <w:b w:val="0"/>
                <w:bCs w:val="0"/>
                <w:color w:val="auto"/>
                <w:kern w:val="0"/>
                <w:sz w:val="15"/>
                <w:szCs w:val="15"/>
                <w:highlight w:val="none"/>
                <w:lang w:val="zh-CN" w:bidi="zh-CN"/>
              </w:rPr>
            </w:pP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7396544D">
            <w:pPr>
              <w:spacing w:line="240" w:lineRule="auto"/>
              <w:ind w:firstLine="0" w:firstLineChars="0"/>
              <w:jc w:val="center"/>
              <w:rPr>
                <w:rFonts w:cs="宋体"/>
                <w:b w:val="0"/>
                <w:bCs w:val="0"/>
                <w:color w:val="auto"/>
                <w:kern w:val="0"/>
                <w:sz w:val="15"/>
                <w:szCs w:val="15"/>
                <w:highlight w:val="none"/>
                <w:lang w:val="zh-CN" w:bidi="zh-CN"/>
              </w:rPr>
            </w:pP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692CFC1E">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DD0F39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41D1EB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C30949E">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6EC2637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26DAB36">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44E0345">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FE040F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9280CF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086D23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F3AC046">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3BEF1DC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r>
      <w:tr w14:paraId="335E5513">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182A7F4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4</w:t>
            </w:r>
          </w:p>
        </w:tc>
        <w:tc>
          <w:tcPr>
            <w:tcW w:w="577" w:type="pct"/>
            <w:tcBorders>
              <w:top w:val="single" w:color="000000" w:sz="4" w:space="0"/>
              <w:left w:val="single" w:color="000000" w:sz="4" w:space="0"/>
              <w:bottom w:val="single" w:color="000000" w:sz="4" w:space="0"/>
              <w:right w:val="single" w:color="000000" w:sz="4" w:space="0"/>
            </w:tcBorders>
            <w:vAlign w:val="center"/>
          </w:tcPr>
          <w:p w14:paraId="3161AD5F">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本年还本付息</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0B44E28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60600.00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CB3977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340.00</w:t>
            </w: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40C7313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680.00</w:t>
            </w: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34B8A5D6">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ABED0D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55DC61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985CE0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0D3DC2AE">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562426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59A8EA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55ECA8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08D33B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40547E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9A31AC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01479CF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r>
      <w:tr w14:paraId="5C02BB03">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bottom"/>
          </w:tcPr>
          <w:p w14:paraId="44F29877">
            <w:pPr>
              <w:spacing w:line="240" w:lineRule="auto"/>
              <w:ind w:firstLine="0" w:firstLineChars="0"/>
              <w:jc w:val="center"/>
              <w:rPr>
                <w:rFonts w:cs="宋体"/>
                <w:b w:val="0"/>
                <w:bCs w:val="0"/>
                <w:color w:val="auto"/>
                <w:kern w:val="0"/>
                <w:sz w:val="15"/>
                <w:szCs w:val="15"/>
                <w:highlight w:val="none"/>
                <w:lang w:val="zh-CN" w:bidi="zh-CN"/>
              </w:rPr>
            </w:pPr>
          </w:p>
        </w:tc>
        <w:tc>
          <w:tcPr>
            <w:tcW w:w="577" w:type="pct"/>
            <w:tcBorders>
              <w:top w:val="single" w:color="000000" w:sz="4" w:space="0"/>
              <w:left w:val="single" w:color="000000" w:sz="4" w:space="0"/>
              <w:bottom w:val="single" w:color="000000" w:sz="4" w:space="0"/>
              <w:right w:val="single" w:color="000000" w:sz="4" w:space="0"/>
            </w:tcBorders>
            <w:vAlign w:val="center"/>
          </w:tcPr>
          <w:p w14:paraId="29CFD50D">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还本</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252D1E5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EF2393D">
            <w:pPr>
              <w:spacing w:line="240" w:lineRule="auto"/>
              <w:ind w:firstLine="0" w:firstLineChars="0"/>
              <w:jc w:val="center"/>
              <w:rPr>
                <w:rFonts w:cs="宋体"/>
                <w:b w:val="0"/>
                <w:bCs w:val="0"/>
                <w:color w:val="auto"/>
                <w:kern w:val="0"/>
                <w:sz w:val="15"/>
                <w:szCs w:val="15"/>
                <w:highlight w:val="none"/>
                <w:lang w:val="zh-CN" w:bidi="zh-CN"/>
              </w:rPr>
            </w:pP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3D8AAB22">
            <w:pPr>
              <w:spacing w:line="240" w:lineRule="auto"/>
              <w:ind w:firstLine="0" w:firstLineChars="0"/>
              <w:jc w:val="center"/>
              <w:rPr>
                <w:rFonts w:cs="宋体"/>
                <w:b w:val="0"/>
                <w:bCs w:val="0"/>
                <w:color w:val="auto"/>
                <w:kern w:val="0"/>
                <w:sz w:val="15"/>
                <w:szCs w:val="15"/>
                <w:highlight w:val="none"/>
                <w:lang w:val="zh-CN" w:bidi="zh-CN"/>
              </w:rPr>
            </w:pP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0BD40641">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000A95A">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46DD550">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49D1BF4">
            <w:pPr>
              <w:spacing w:line="240" w:lineRule="auto"/>
              <w:ind w:firstLine="0" w:firstLineChars="0"/>
              <w:jc w:val="center"/>
              <w:rPr>
                <w:rFonts w:cs="宋体"/>
                <w:b w:val="0"/>
                <w:bCs w:val="0"/>
                <w:color w:val="auto"/>
                <w:kern w:val="0"/>
                <w:sz w:val="15"/>
                <w:szCs w:val="15"/>
                <w:highlight w:val="none"/>
                <w:lang w:val="zh-CN" w:bidi="zh-CN"/>
              </w:rPr>
            </w:pP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2A463AD4">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34BB307">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A1FEF7A">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63316A6">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0F8DDC2">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6603430">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3BF1809">
            <w:pPr>
              <w:spacing w:line="240" w:lineRule="auto"/>
              <w:ind w:firstLine="0" w:firstLineChars="0"/>
              <w:jc w:val="center"/>
              <w:rPr>
                <w:rFonts w:cs="宋体"/>
                <w:b w:val="0"/>
                <w:bCs w:val="0"/>
                <w:color w:val="auto"/>
                <w:kern w:val="0"/>
                <w:sz w:val="15"/>
                <w:szCs w:val="15"/>
                <w:highlight w:val="none"/>
                <w:lang w:val="zh-CN" w:bidi="zh-CN"/>
              </w:rPr>
            </w:pP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350A0230">
            <w:pPr>
              <w:spacing w:line="240" w:lineRule="auto"/>
              <w:ind w:firstLine="0" w:firstLineChars="0"/>
              <w:jc w:val="center"/>
              <w:rPr>
                <w:rFonts w:cs="宋体"/>
                <w:b w:val="0"/>
                <w:bCs w:val="0"/>
                <w:color w:val="auto"/>
                <w:kern w:val="0"/>
                <w:sz w:val="15"/>
                <w:szCs w:val="15"/>
                <w:highlight w:val="none"/>
                <w:lang w:val="zh-CN" w:bidi="zh-CN"/>
              </w:rPr>
            </w:pPr>
          </w:p>
        </w:tc>
      </w:tr>
      <w:tr w14:paraId="4073734E">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bottom"/>
          </w:tcPr>
          <w:p w14:paraId="6FCD382E">
            <w:pPr>
              <w:spacing w:line="240" w:lineRule="auto"/>
              <w:ind w:firstLine="0" w:firstLineChars="0"/>
              <w:jc w:val="center"/>
              <w:rPr>
                <w:rFonts w:cs="宋体"/>
                <w:b w:val="0"/>
                <w:bCs w:val="0"/>
                <w:color w:val="auto"/>
                <w:kern w:val="0"/>
                <w:sz w:val="15"/>
                <w:szCs w:val="15"/>
                <w:highlight w:val="none"/>
                <w:lang w:val="zh-CN" w:bidi="zh-CN"/>
              </w:rPr>
            </w:pPr>
          </w:p>
        </w:tc>
        <w:tc>
          <w:tcPr>
            <w:tcW w:w="577" w:type="pct"/>
            <w:tcBorders>
              <w:top w:val="single" w:color="000000" w:sz="4" w:space="0"/>
              <w:left w:val="single" w:color="000000" w:sz="4" w:space="0"/>
              <w:bottom w:val="single" w:color="000000" w:sz="4" w:space="0"/>
              <w:right w:val="single" w:color="000000" w:sz="4" w:space="0"/>
            </w:tcBorders>
            <w:vAlign w:val="center"/>
          </w:tcPr>
          <w:p w14:paraId="2EF1319A">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付息</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7608A23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30600.00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443AD1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340.00</w:t>
            </w: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7354EDB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680.00</w:t>
            </w: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1C2FE6C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4B48EB1">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DD323E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815E5E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3B20DE1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6F469F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99264F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037A2E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17175F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8C6B2AF">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9C1C16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6924B65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r>
      <w:tr w14:paraId="1722CF47">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281B596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5</w:t>
            </w:r>
          </w:p>
        </w:tc>
        <w:tc>
          <w:tcPr>
            <w:tcW w:w="577" w:type="pct"/>
            <w:tcBorders>
              <w:top w:val="single" w:color="000000" w:sz="4" w:space="0"/>
              <w:left w:val="single" w:color="000000" w:sz="4" w:space="0"/>
              <w:bottom w:val="single" w:color="000000" w:sz="4" w:space="0"/>
              <w:right w:val="single" w:color="000000" w:sz="4" w:space="0"/>
            </w:tcBorders>
            <w:vAlign w:val="center"/>
          </w:tcPr>
          <w:p w14:paraId="3C422ECB">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期末本金金额</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520A022E">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5026FC8">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10000.00</w:t>
            </w: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29873A0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20000.00</w:t>
            </w: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43C9E76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3BE16A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E7706A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746877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47C88BF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3AD8BF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3DF86C1">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141760E">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75AA5B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B935065">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D7FE50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1E82B33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30000.00</w:t>
            </w:r>
          </w:p>
        </w:tc>
      </w:tr>
      <w:tr w14:paraId="46AF634F">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2D769F66">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二</w:t>
            </w:r>
          </w:p>
        </w:tc>
        <w:tc>
          <w:tcPr>
            <w:tcW w:w="577" w:type="pct"/>
            <w:tcBorders>
              <w:top w:val="single" w:color="000000" w:sz="4" w:space="0"/>
              <w:left w:val="single" w:color="000000" w:sz="4" w:space="0"/>
              <w:bottom w:val="single" w:color="000000" w:sz="4" w:space="0"/>
              <w:right w:val="single" w:color="000000" w:sz="4" w:space="0"/>
            </w:tcBorders>
            <w:vAlign w:val="center"/>
          </w:tcPr>
          <w:p w14:paraId="3ACDE645">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还款资金来源及还款分析</w:t>
            </w:r>
          </w:p>
        </w:tc>
        <w:tc>
          <w:tcPr>
            <w:tcW w:w="264" w:type="pct"/>
            <w:tcBorders>
              <w:top w:val="single" w:color="000000" w:sz="4" w:space="0"/>
              <w:left w:val="single" w:color="000000" w:sz="4" w:space="0"/>
              <w:bottom w:val="single" w:color="000000" w:sz="4" w:space="0"/>
              <w:right w:val="single" w:color="000000" w:sz="4" w:space="0"/>
            </w:tcBorders>
            <w:vAlign w:val="center"/>
          </w:tcPr>
          <w:p w14:paraId="0807B338">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2A733021">
            <w:pPr>
              <w:spacing w:line="240" w:lineRule="auto"/>
              <w:ind w:firstLine="0" w:firstLineChars="0"/>
              <w:jc w:val="left"/>
              <w:rPr>
                <w:rFonts w:cs="宋体"/>
                <w:b w:val="0"/>
                <w:bCs w:val="0"/>
                <w:color w:val="auto"/>
                <w:kern w:val="0"/>
                <w:sz w:val="15"/>
                <w:szCs w:val="15"/>
                <w:highlight w:val="none"/>
                <w:lang w:val="zh-CN" w:bidi="zh-CN"/>
              </w:rPr>
            </w:pPr>
          </w:p>
        </w:tc>
        <w:tc>
          <w:tcPr>
            <w:tcW w:w="267" w:type="pct"/>
            <w:tcBorders>
              <w:top w:val="single" w:color="000000" w:sz="4" w:space="0"/>
              <w:left w:val="single" w:color="000000" w:sz="4" w:space="0"/>
              <w:bottom w:val="single" w:color="000000" w:sz="4" w:space="0"/>
              <w:right w:val="single" w:color="000000" w:sz="4" w:space="0"/>
            </w:tcBorders>
            <w:vAlign w:val="center"/>
          </w:tcPr>
          <w:p w14:paraId="200A3217">
            <w:pPr>
              <w:spacing w:line="240" w:lineRule="auto"/>
              <w:ind w:firstLine="0" w:firstLineChars="0"/>
              <w:jc w:val="left"/>
              <w:rPr>
                <w:rFonts w:cs="宋体"/>
                <w:b w:val="0"/>
                <w:bCs w:val="0"/>
                <w:color w:val="auto"/>
                <w:kern w:val="0"/>
                <w:sz w:val="15"/>
                <w:szCs w:val="15"/>
                <w:highlight w:val="none"/>
                <w:lang w:val="zh-CN" w:bidi="zh-CN"/>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42305680">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5373448A">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08194C63">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4D9414CE">
            <w:pPr>
              <w:spacing w:line="240" w:lineRule="auto"/>
              <w:ind w:firstLine="0" w:firstLineChars="0"/>
              <w:jc w:val="left"/>
              <w:rPr>
                <w:rFonts w:cs="宋体"/>
                <w:b w:val="0"/>
                <w:bCs w:val="0"/>
                <w:color w:val="auto"/>
                <w:kern w:val="0"/>
                <w:sz w:val="15"/>
                <w:szCs w:val="15"/>
                <w:highlight w:val="none"/>
                <w:lang w:val="zh-CN" w:bidi="zh-CN"/>
              </w:rPr>
            </w:pPr>
          </w:p>
        </w:tc>
        <w:tc>
          <w:tcPr>
            <w:tcW w:w="351" w:type="pct"/>
            <w:tcBorders>
              <w:top w:val="single" w:color="000000" w:sz="4" w:space="0"/>
              <w:left w:val="single" w:color="000000" w:sz="4" w:space="0"/>
              <w:bottom w:val="single" w:color="000000" w:sz="4" w:space="0"/>
              <w:right w:val="single" w:color="000000" w:sz="4" w:space="0"/>
            </w:tcBorders>
            <w:vAlign w:val="center"/>
          </w:tcPr>
          <w:p w14:paraId="44EF0E6F">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22098BDF">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6347B1CB">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507C9309">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56219563">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616CDDFD">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288D29C0">
            <w:pPr>
              <w:spacing w:line="240" w:lineRule="auto"/>
              <w:ind w:firstLine="0" w:firstLineChars="0"/>
              <w:jc w:val="left"/>
              <w:rPr>
                <w:rFonts w:cs="宋体"/>
                <w:b w:val="0"/>
                <w:bCs w:val="0"/>
                <w:color w:val="auto"/>
                <w:kern w:val="0"/>
                <w:sz w:val="15"/>
                <w:szCs w:val="15"/>
                <w:highlight w:val="none"/>
                <w:lang w:val="zh-CN" w:bidi="zh-CN"/>
              </w:rPr>
            </w:pPr>
          </w:p>
        </w:tc>
        <w:tc>
          <w:tcPr>
            <w:tcW w:w="285" w:type="pct"/>
            <w:tcBorders>
              <w:top w:val="single" w:color="000000" w:sz="4" w:space="0"/>
              <w:left w:val="single" w:color="000000" w:sz="4" w:space="0"/>
              <w:bottom w:val="single" w:color="000000" w:sz="4" w:space="0"/>
              <w:right w:val="single" w:color="000000" w:sz="4" w:space="0"/>
            </w:tcBorders>
            <w:vAlign w:val="center"/>
          </w:tcPr>
          <w:p w14:paraId="4A87615F">
            <w:pPr>
              <w:spacing w:line="240" w:lineRule="auto"/>
              <w:ind w:firstLine="0" w:firstLineChars="0"/>
              <w:jc w:val="left"/>
              <w:rPr>
                <w:rFonts w:cs="宋体"/>
                <w:b w:val="0"/>
                <w:bCs w:val="0"/>
                <w:color w:val="auto"/>
                <w:kern w:val="0"/>
                <w:sz w:val="15"/>
                <w:szCs w:val="15"/>
                <w:highlight w:val="none"/>
                <w:lang w:val="zh-CN" w:bidi="zh-CN"/>
              </w:rPr>
            </w:pPr>
          </w:p>
        </w:tc>
      </w:tr>
      <w:tr w14:paraId="2D097637">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5181B9D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w:t>
            </w:r>
          </w:p>
        </w:tc>
        <w:tc>
          <w:tcPr>
            <w:tcW w:w="577" w:type="pct"/>
            <w:tcBorders>
              <w:top w:val="single" w:color="000000" w:sz="4" w:space="0"/>
              <w:left w:val="single" w:color="000000" w:sz="4" w:space="0"/>
              <w:bottom w:val="single" w:color="000000" w:sz="4" w:space="0"/>
              <w:right w:val="single" w:color="000000" w:sz="4" w:space="0"/>
            </w:tcBorders>
            <w:vAlign w:val="center"/>
          </w:tcPr>
          <w:p w14:paraId="78C28B3F">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还款资金来源</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5A64E78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101021.86</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C13C2D8">
            <w:pPr>
              <w:spacing w:line="240" w:lineRule="auto"/>
              <w:ind w:firstLine="0" w:firstLineChars="0"/>
              <w:jc w:val="center"/>
              <w:rPr>
                <w:rFonts w:cs="宋体"/>
                <w:b w:val="0"/>
                <w:bCs w:val="0"/>
                <w:color w:val="auto"/>
                <w:kern w:val="0"/>
                <w:sz w:val="15"/>
                <w:szCs w:val="15"/>
                <w:highlight w:val="none"/>
                <w:lang w:val="zh-CN" w:bidi="zh-CN"/>
              </w:rPr>
            </w:pP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4D26C244">
            <w:pPr>
              <w:spacing w:line="240" w:lineRule="auto"/>
              <w:ind w:firstLine="0" w:firstLineChars="0"/>
              <w:jc w:val="center"/>
              <w:rPr>
                <w:rFonts w:cs="宋体"/>
                <w:b w:val="0"/>
                <w:bCs w:val="0"/>
                <w:color w:val="auto"/>
                <w:kern w:val="0"/>
                <w:sz w:val="15"/>
                <w:szCs w:val="15"/>
                <w:highlight w:val="none"/>
                <w:lang w:val="zh-CN" w:bidi="zh-CN"/>
              </w:rPr>
            </w:pP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62F796D3">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F61FA9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1692.95</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CD82A5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1956.57</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BDCDBC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2220.07</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32E8B73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2502.10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4C982D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2502.10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1AE0F81">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2502.10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D95C30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2745.73</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5686E8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2745.73</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26478A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2745.73</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3744E3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3011.77</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2FE987BF">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3011.77</w:t>
            </w:r>
          </w:p>
        </w:tc>
      </w:tr>
      <w:tr w14:paraId="58A2F8F2">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5F08EEED">
            <w:pPr>
              <w:spacing w:line="240" w:lineRule="auto"/>
              <w:ind w:firstLine="0" w:firstLineChars="0"/>
              <w:jc w:val="center"/>
              <w:rPr>
                <w:rFonts w:cs="宋体"/>
                <w:b w:val="0"/>
                <w:bCs w:val="0"/>
                <w:color w:val="auto"/>
                <w:kern w:val="0"/>
                <w:sz w:val="15"/>
                <w:szCs w:val="15"/>
                <w:highlight w:val="none"/>
                <w:lang w:val="zh-CN" w:bidi="zh-CN"/>
              </w:rPr>
            </w:pPr>
          </w:p>
        </w:tc>
        <w:tc>
          <w:tcPr>
            <w:tcW w:w="577" w:type="pct"/>
            <w:tcBorders>
              <w:top w:val="single" w:color="000000" w:sz="4" w:space="0"/>
              <w:left w:val="single" w:color="000000" w:sz="4" w:space="0"/>
              <w:bottom w:val="single" w:color="000000" w:sz="4" w:space="0"/>
              <w:right w:val="single" w:color="000000" w:sz="4" w:space="0"/>
            </w:tcBorders>
            <w:vAlign w:val="center"/>
          </w:tcPr>
          <w:p w14:paraId="74C2D6DB">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当年净利润</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71B98AD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34618.63</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60F461F">
            <w:pPr>
              <w:spacing w:line="240" w:lineRule="auto"/>
              <w:ind w:firstLine="0" w:firstLineChars="0"/>
              <w:jc w:val="center"/>
              <w:rPr>
                <w:rFonts w:cs="宋体"/>
                <w:b w:val="0"/>
                <w:bCs w:val="0"/>
                <w:color w:val="auto"/>
                <w:kern w:val="0"/>
                <w:sz w:val="15"/>
                <w:szCs w:val="15"/>
                <w:highlight w:val="none"/>
                <w:lang w:val="zh-CN" w:bidi="zh-CN"/>
              </w:rPr>
            </w:pP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4301F724">
            <w:pPr>
              <w:spacing w:line="240" w:lineRule="auto"/>
              <w:ind w:firstLine="0" w:firstLineChars="0"/>
              <w:jc w:val="center"/>
              <w:rPr>
                <w:rFonts w:cs="宋体"/>
                <w:b w:val="0"/>
                <w:bCs w:val="0"/>
                <w:color w:val="auto"/>
                <w:kern w:val="0"/>
                <w:sz w:val="15"/>
                <w:szCs w:val="15"/>
                <w:highlight w:val="none"/>
                <w:lang w:val="zh-CN" w:bidi="zh-CN"/>
              </w:rPr>
            </w:pP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3D72FEDD">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FA83581">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-613.14</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319922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-352.30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70962A6">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-91.57</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7E1A4AD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187.49</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1B67126">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187.49</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F1FA4A1">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187.49</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BFBAEE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428.56</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17265EE">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428.56</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CBD3F4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428.56</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330EB7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691.80</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06C542DE">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691.80</w:t>
            </w:r>
          </w:p>
        </w:tc>
      </w:tr>
      <w:tr w14:paraId="2A46A974">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7F353285">
            <w:pPr>
              <w:spacing w:line="240" w:lineRule="auto"/>
              <w:ind w:firstLine="0" w:firstLineChars="0"/>
              <w:jc w:val="center"/>
              <w:rPr>
                <w:rFonts w:cs="宋体"/>
                <w:b w:val="0"/>
                <w:bCs w:val="0"/>
                <w:color w:val="auto"/>
                <w:kern w:val="0"/>
                <w:sz w:val="15"/>
                <w:szCs w:val="15"/>
                <w:highlight w:val="none"/>
                <w:lang w:val="zh-CN" w:bidi="zh-CN"/>
              </w:rPr>
            </w:pPr>
          </w:p>
        </w:tc>
        <w:tc>
          <w:tcPr>
            <w:tcW w:w="577" w:type="pct"/>
            <w:tcBorders>
              <w:top w:val="single" w:color="000000" w:sz="4" w:space="0"/>
              <w:left w:val="single" w:color="000000" w:sz="4" w:space="0"/>
              <w:bottom w:val="single" w:color="000000" w:sz="4" w:space="0"/>
              <w:right w:val="single" w:color="000000" w:sz="4" w:space="0"/>
            </w:tcBorders>
            <w:vAlign w:val="center"/>
          </w:tcPr>
          <w:p w14:paraId="36E00856">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债券财务费用</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4BAC93FF">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28560.00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6B685CA">
            <w:pPr>
              <w:spacing w:line="240" w:lineRule="auto"/>
              <w:ind w:firstLine="0" w:firstLineChars="0"/>
              <w:jc w:val="center"/>
              <w:rPr>
                <w:rFonts w:cs="宋体"/>
                <w:b w:val="0"/>
                <w:bCs w:val="0"/>
                <w:color w:val="auto"/>
                <w:kern w:val="0"/>
                <w:sz w:val="15"/>
                <w:szCs w:val="15"/>
                <w:highlight w:val="none"/>
                <w:lang w:val="zh-CN" w:bidi="zh-CN"/>
              </w:rPr>
            </w:pP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13375C4B">
            <w:pPr>
              <w:spacing w:line="240" w:lineRule="auto"/>
              <w:ind w:firstLine="0" w:firstLineChars="0"/>
              <w:jc w:val="center"/>
              <w:rPr>
                <w:rFonts w:cs="宋体"/>
                <w:b w:val="0"/>
                <w:bCs w:val="0"/>
                <w:color w:val="auto"/>
                <w:kern w:val="0"/>
                <w:sz w:val="15"/>
                <w:szCs w:val="15"/>
                <w:highlight w:val="none"/>
                <w:lang w:val="zh-CN" w:bidi="zh-CN"/>
              </w:rPr>
            </w:pP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4DDC6EC7">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C92B7B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39E9EC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73E1415">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639530A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D78A4B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8544B8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4E2AA3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6A841C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FF0C55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2D0589A">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7DE3E14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1020.00</w:t>
            </w:r>
          </w:p>
        </w:tc>
      </w:tr>
      <w:tr w14:paraId="0AC83554">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73DF8B66">
            <w:pPr>
              <w:spacing w:line="240" w:lineRule="auto"/>
              <w:ind w:firstLine="0" w:firstLineChars="0"/>
              <w:jc w:val="center"/>
              <w:rPr>
                <w:rFonts w:cs="宋体"/>
                <w:b w:val="0"/>
                <w:bCs w:val="0"/>
                <w:color w:val="auto"/>
                <w:kern w:val="0"/>
                <w:sz w:val="15"/>
                <w:szCs w:val="15"/>
                <w:highlight w:val="none"/>
                <w:lang w:val="zh-CN" w:bidi="zh-CN"/>
              </w:rPr>
            </w:pPr>
          </w:p>
        </w:tc>
        <w:tc>
          <w:tcPr>
            <w:tcW w:w="577" w:type="pct"/>
            <w:tcBorders>
              <w:top w:val="single" w:color="000000" w:sz="4" w:space="0"/>
              <w:left w:val="single" w:color="000000" w:sz="4" w:space="0"/>
              <w:bottom w:val="single" w:color="000000" w:sz="4" w:space="0"/>
              <w:right w:val="single" w:color="000000" w:sz="4" w:space="0"/>
            </w:tcBorders>
            <w:vAlign w:val="center"/>
          </w:tcPr>
          <w:p w14:paraId="61F3B419">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折旧及摊销</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5D512096">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36733.43</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C5BFDDA">
            <w:pPr>
              <w:spacing w:line="240" w:lineRule="auto"/>
              <w:ind w:firstLine="0" w:firstLineChars="0"/>
              <w:jc w:val="center"/>
              <w:rPr>
                <w:rFonts w:cs="宋体"/>
                <w:b w:val="0"/>
                <w:bCs w:val="0"/>
                <w:color w:val="auto"/>
                <w:kern w:val="0"/>
                <w:sz w:val="15"/>
                <w:szCs w:val="15"/>
                <w:highlight w:val="none"/>
                <w:lang w:val="zh-CN" w:bidi="zh-CN"/>
              </w:rPr>
            </w:pP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40264220">
            <w:pPr>
              <w:spacing w:line="240" w:lineRule="auto"/>
              <w:ind w:firstLine="0" w:firstLineChars="0"/>
              <w:jc w:val="center"/>
              <w:rPr>
                <w:rFonts w:cs="宋体"/>
                <w:b w:val="0"/>
                <w:bCs w:val="0"/>
                <w:color w:val="auto"/>
                <w:kern w:val="0"/>
                <w:sz w:val="15"/>
                <w:szCs w:val="15"/>
                <w:highlight w:val="none"/>
                <w:lang w:val="zh-CN" w:bidi="zh-CN"/>
              </w:rPr>
            </w:pP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16C3ACBB">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BC63302">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1266.67</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D9FD2F5">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1266.67</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76CC4F6">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1266.67</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52CD07E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1266.67</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EB51065">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1266.67</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342C69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1266.67</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3CA394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1266.67</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004DE4C">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1266.67</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5D0BA3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1266.67</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3858B94">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1266.67</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4548894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1266.67</w:t>
            </w:r>
          </w:p>
        </w:tc>
      </w:tr>
      <w:tr w14:paraId="3C53D589">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3DB28FA3">
            <w:pPr>
              <w:spacing w:line="240" w:lineRule="auto"/>
              <w:ind w:firstLine="0" w:firstLineChars="0"/>
              <w:jc w:val="center"/>
              <w:rPr>
                <w:rFonts w:cs="宋体"/>
                <w:b w:val="0"/>
                <w:bCs w:val="0"/>
                <w:color w:val="auto"/>
                <w:kern w:val="0"/>
                <w:sz w:val="15"/>
                <w:szCs w:val="15"/>
                <w:highlight w:val="none"/>
                <w:lang w:val="zh-CN" w:bidi="zh-CN"/>
              </w:rPr>
            </w:pPr>
          </w:p>
        </w:tc>
        <w:tc>
          <w:tcPr>
            <w:tcW w:w="577" w:type="pct"/>
            <w:tcBorders>
              <w:top w:val="single" w:color="000000" w:sz="4" w:space="0"/>
              <w:left w:val="single" w:color="000000" w:sz="4" w:space="0"/>
              <w:bottom w:val="single" w:color="000000" w:sz="4" w:space="0"/>
              <w:right w:val="single" w:color="000000" w:sz="4" w:space="0"/>
            </w:tcBorders>
            <w:vAlign w:val="center"/>
          </w:tcPr>
          <w:p w14:paraId="063D3BEE">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提取医疗风险基金（计提数）</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7630D986">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1109.80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B15CF22">
            <w:pPr>
              <w:spacing w:line="240" w:lineRule="auto"/>
              <w:ind w:firstLine="0" w:firstLineChars="0"/>
              <w:jc w:val="center"/>
              <w:rPr>
                <w:rFonts w:cs="宋体"/>
                <w:b w:val="0"/>
                <w:bCs w:val="0"/>
                <w:color w:val="auto"/>
                <w:kern w:val="0"/>
                <w:sz w:val="15"/>
                <w:szCs w:val="15"/>
                <w:highlight w:val="none"/>
                <w:lang w:val="zh-CN" w:bidi="zh-CN"/>
              </w:rPr>
            </w:pP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1EB82318">
            <w:pPr>
              <w:spacing w:line="240" w:lineRule="auto"/>
              <w:ind w:firstLine="0" w:firstLineChars="0"/>
              <w:jc w:val="center"/>
              <w:rPr>
                <w:rFonts w:cs="宋体"/>
                <w:b w:val="0"/>
                <w:bCs w:val="0"/>
                <w:color w:val="auto"/>
                <w:kern w:val="0"/>
                <w:sz w:val="15"/>
                <w:szCs w:val="15"/>
                <w:highlight w:val="none"/>
                <w:lang w:val="zh-CN" w:bidi="zh-CN"/>
              </w:rPr>
            </w:pP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19271E19">
            <w:pPr>
              <w:spacing w:line="240" w:lineRule="auto"/>
              <w:ind w:firstLine="0" w:firstLineChars="0"/>
              <w:jc w:val="center"/>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CBA5869">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19.42</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3DE77E1">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22.20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8A9D45E">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24.97</w:t>
            </w: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56450DF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27.94</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23675B5">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27.94</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E4E6F9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27.94</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521B5DE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30.50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EEE385D">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30.50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3F532A3">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30.50</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0A44B97">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33.30</w:t>
            </w: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79F4B86B">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33.30</w:t>
            </w:r>
          </w:p>
        </w:tc>
      </w:tr>
      <w:tr w14:paraId="73EC7EAD">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center"/>
          </w:tcPr>
          <w:p w14:paraId="7733BB9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2</w:t>
            </w:r>
          </w:p>
        </w:tc>
        <w:tc>
          <w:tcPr>
            <w:tcW w:w="577" w:type="pct"/>
            <w:tcBorders>
              <w:top w:val="single" w:color="000000" w:sz="4" w:space="0"/>
              <w:left w:val="single" w:color="000000" w:sz="4" w:space="0"/>
              <w:bottom w:val="single" w:color="000000" w:sz="4" w:space="0"/>
              <w:right w:val="single" w:color="000000" w:sz="4" w:space="0"/>
            </w:tcBorders>
            <w:vAlign w:val="center"/>
          </w:tcPr>
          <w:p w14:paraId="16AF7881">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本息偿还分析</w:t>
            </w:r>
          </w:p>
        </w:tc>
        <w:tc>
          <w:tcPr>
            <w:tcW w:w="264" w:type="pct"/>
            <w:tcBorders>
              <w:top w:val="single" w:color="000000" w:sz="4" w:space="0"/>
              <w:left w:val="single" w:color="000000" w:sz="4" w:space="0"/>
              <w:bottom w:val="single" w:color="000000" w:sz="4" w:space="0"/>
              <w:right w:val="single" w:color="000000" w:sz="4" w:space="0"/>
            </w:tcBorders>
            <w:vAlign w:val="center"/>
          </w:tcPr>
          <w:p w14:paraId="64AEA3A2">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1AC87597">
            <w:pPr>
              <w:spacing w:line="240" w:lineRule="auto"/>
              <w:ind w:firstLine="0" w:firstLineChars="0"/>
              <w:jc w:val="left"/>
              <w:rPr>
                <w:rFonts w:cs="宋体"/>
                <w:b w:val="0"/>
                <w:bCs w:val="0"/>
                <w:color w:val="auto"/>
                <w:kern w:val="0"/>
                <w:sz w:val="15"/>
                <w:szCs w:val="15"/>
                <w:highlight w:val="none"/>
                <w:lang w:val="zh-CN" w:bidi="zh-CN"/>
              </w:rPr>
            </w:pPr>
          </w:p>
        </w:tc>
        <w:tc>
          <w:tcPr>
            <w:tcW w:w="267" w:type="pct"/>
            <w:tcBorders>
              <w:top w:val="single" w:color="000000" w:sz="4" w:space="0"/>
              <w:left w:val="single" w:color="000000" w:sz="4" w:space="0"/>
              <w:bottom w:val="single" w:color="000000" w:sz="4" w:space="0"/>
              <w:right w:val="single" w:color="000000" w:sz="4" w:space="0"/>
            </w:tcBorders>
            <w:vAlign w:val="center"/>
          </w:tcPr>
          <w:p w14:paraId="1753DF60">
            <w:pPr>
              <w:spacing w:line="240" w:lineRule="auto"/>
              <w:ind w:firstLine="0" w:firstLineChars="0"/>
              <w:jc w:val="left"/>
              <w:rPr>
                <w:rFonts w:cs="宋体"/>
                <w:b w:val="0"/>
                <w:bCs w:val="0"/>
                <w:color w:val="auto"/>
                <w:kern w:val="0"/>
                <w:sz w:val="15"/>
                <w:szCs w:val="15"/>
                <w:highlight w:val="none"/>
                <w:lang w:val="zh-CN" w:bidi="zh-CN"/>
              </w:rPr>
            </w:pPr>
          </w:p>
        </w:tc>
        <w:tc>
          <w:tcPr>
            <w:tcW w:w="265" w:type="pct"/>
            <w:tcBorders>
              <w:top w:val="single" w:color="000000" w:sz="4" w:space="0"/>
              <w:left w:val="single" w:color="000000" w:sz="4" w:space="0"/>
              <w:bottom w:val="single" w:color="000000" w:sz="4" w:space="0"/>
              <w:right w:val="single" w:color="000000" w:sz="4" w:space="0"/>
            </w:tcBorders>
            <w:vAlign w:val="center"/>
          </w:tcPr>
          <w:p w14:paraId="07AD1E3A">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176D3AF7">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547BC96E">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2BEB678A">
            <w:pPr>
              <w:spacing w:line="240" w:lineRule="auto"/>
              <w:ind w:firstLine="0" w:firstLineChars="0"/>
              <w:jc w:val="left"/>
              <w:rPr>
                <w:rFonts w:cs="宋体"/>
                <w:b w:val="0"/>
                <w:bCs w:val="0"/>
                <w:color w:val="auto"/>
                <w:kern w:val="0"/>
                <w:sz w:val="15"/>
                <w:szCs w:val="15"/>
                <w:highlight w:val="none"/>
                <w:lang w:val="zh-CN" w:bidi="zh-CN"/>
              </w:rPr>
            </w:pPr>
          </w:p>
        </w:tc>
        <w:tc>
          <w:tcPr>
            <w:tcW w:w="351" w:type="pct"/>
            <w:tcBorders>
              <w:top w:val="single" w:color="000000" w:sz="4" w:space="0"/>
              <w:left w:val="single" w:color="000000" w:sz="4" w:space="0"/>
              <w:bottom w:val="single" w:color="000000" w:sz="4" w:space="0"/>
              <w:right w:val="single" w:color="000000" w:sz="4" w:space="0"/>
            </w:tcBorders>
            <w:vAlign w:val="center"/>
          </w:tcPr>
          <w:p w14:paraId="00EFE62A">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0E5D823F">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345A6C14">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0BF0FB4C">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36E53B09">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13168EBE">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vAlign w:val="center"/>
          </w:tcPr>
          <w:p w14:paraId="636ECF4F">
            <w:pPr>
              <w:spacing w:line="240" w:lineRule="auto"/>
              <w:ind w:firstLine="0" w:firstLineChars="0"/>
              <w:jc w:val="left"/>
              <w:rPr>
                <w:rFonts w:cs="宋体"/>
                <w:b w:val="0"/>
                <w:bCs w:val="0"/>
                <w:color w:val="auto"/>
                <w:kern w:val="0"/>
                <w:sz w:val="15"/>
                <w:szCs w:val="15"/>
                <w:highlight w:val="none"/>
                <w:lang w:val="zh-CN" w:bidi="zh-CN"/>
              </w:rPr>
            </w:pPr>
          </w:p>
        </w:tc>
        <w:tc>
          <w:tcPr>
            <w:tcW w:w="285" w:type="pct"/>
            <w:tcBorders>
              <w:top w:val="single" w:color="000000" w:sz="4" w:space="0"/>
              <w:left w:val="single" w:color="000000" w:sz="4" w:space="0"/>
              <w:bottom w:val="single" w:color="000000" w:sz="4" w:space="0"/>
              <w:right w:val="single" w:color="000000" w:sz="4" w:space="0"/>
            </w:tcBorders>
            <w:vAlign w:val="center"/>
          </w:tcPr>
          <w:p w14:paraId="2D14040F">
            <w:pPr>
              <w:spacing w:line="240" w:lineRule="auto"/>
              <w:ind w:firstLine="0" w:firstLineChars="0"/>
              <w:jc w:val="left"/>
              <w:rPr>
                <w:rFonts w:cs="宋体"/>
                <w:b w:val="0"/>
                <w:bCs w:val="0"/>
                <w:color w:val="auto"/>
                <w:kern w:val="0"/>
                <w:sz w:val="15"/>
                <w:szCs w:val="15"/>
                <w:highlight w:val="none"/>
                <w:lang w:val="zh-CN" w:bidi="zh-CN"/>
              </w:rPr>
            </w:pPr>
          </w:p>
        </w:tc>
      </w:tr>
      <w:tr w14:paraId="260D7CA6">
        <w:tblPrEx>
          <w:tblCellMar>
            <w:top w:w="0" w:type="dxa"/>
            <w:left w:w="0" w:type="dxa"/>
            <w:bottom w:w="0" w:type="dxa"/>
            <w:right w:w="0" w:type="dxa"/>
          </w:tblCellMar>
        </w:tblPrEx>
        <w:trPr>
          <w:trHeight w:val="363" w:hRule="exact"/>
          <w:jc w:val="center"/>
        </w:trPr>
        <w:tc>
          <w:tcPr>
            <w:tcW w:w="146" w:type="pct"/>
            <w:tcBorders>
              <w:top w:val="single" w:color="000000" w:sz="4" w:space="0"/>
              <w:left w:val="single" w:color="000000" w:sz="4" w:space="0"/>
              <w:bottom w:val="single" w:color="000000" w:sz="4" w:space="0"/>
              <w:right w:val="single" w:color="000000" w:sz="4" w:space="0"/>
            </w:tcBorders>
            <w:noWrap/>
            <w:vAlign w:val="bottom"/>
          </w:tcPr>
          <w:p w14:paraId="52C49AC6">
            <w:pPr>
              <w:spacing w:line="240" w:lineRule="auto"/>
              <w:ind w:firstLine="0" w:firstLineChars="0"/>
              <w:jc w:val="center"/>
              <w:rPr>
                <w:rFonts w:cs="宋体"/>
                <w:b w:val="0"/>
                <w:bCs w:val="0"/>
                <w:color w:val="auto"/>
                <w:kern w:val="0"/>
                <w:sz w:val="15"/>
                <w:szCs w:val="15"/>
                <w:highlight w:val="none"/>
                <w:lang w:val="zh-CN" w:bidi="zh-CN"/>
              </w:rPr>
            </w:pPr>
          </w:p>
        </w:tc>
        <w:tc>
          <w:tcPr>
            <w:tcW w:w="577" w:type="pct"/>
            <w:tcBorders>
              <w:top w:val="single" w:color="000000" w:sz="4" w:space="0"/>
              <w:left w:val="single" w:color="000000" w:sz="4" w:space="0"/>
              <w:bottom w:val="single" w:color="000000" w:sz="4" w:space="0"/>
              <w:right w:val="single" w:color="000000" w:sz="4" w:space="0"/>
            </w:tcBorders>
            <w:vAlign w:val="center"/>
          </w:tcPr>
          <w:p w14:paraId="5B72755F">
            <w:pPr>
              <w:widowControl/>
              <w:spacing w:line="240" w:lineRule="auto"/>
              <w:ind w:firstLine="0" w:firstLineChars="0"/>
              <w:jc w:val="left"/>
              <w:textAlignment w:val="center"/>
              <w:rPr>
                <w:rFonts w:cs="宋体"/>
                <w:b w:val="0"/>
                <w:bCs w:val="0"/>
                <w:color w:val="auto"/>
                <w:kern w:val="0"/>
                <w:sz w:val="15"/>
                <w:szCs w:val="15"/>
                <w:highlight w:val="none"/>
                <w:lang w:val="zh-CN" w:bidi="zh-CN"/>
              </w:rPr>
            </w:pPr>
            <w:r>
              <w:rPr>
                <w:rFonts w:hint="eastAsia" w:cs="宋体"/>
                <w:b w:val="0"/>
                <w:bCs w:val="0"/>
                <w:color w:val="auto"/>
                <w:kern w:val="0"/>
                <w:sz w:val="15"/>
                <w:szCs w:val="15"/>
                <w:highlight w:val="none"/>
                <w:lang w:bidi="ar"/>
              </w:rPr>
              <w:t>本息覆盖倍数</w:t>
            </w:r>
          </w:p>
        </w:tc>
        <w:tc>
          <w:tcPr>
            <w:tcW w:w="264" w:type="pct"/>
            <w:tcBorders>
              <w:top w:val="single" w:color="000000" w:sz="4" w:space="0"/>
              <w:left w:val="single" w:color="000000" w:sz="4" w:space="0"/>
              <w:bottom w:val="single" w:color="000000" w:sz="4" w:space="0"/>
              <w:right w:val="single" w:color="000000" w:sz="4" w:space="0"/>
            </w:tcBorders>
            <w:noWrap/>
            <w:vAlign w:val="center"/>
          </w:tcPr>
          <w:p w14:paraId="510D9660">
            <w:pPr>
              <w:widowControl/>
              <w:spacing w:line="240" w:lineRule="auto"/>
              <w:ind w:firstLine="0" w:firstLineChars="0"/>
              <w:jc w:val="center"/>
              <w:textAlignment w:val="center"/>
              <w:rPr>
                <w:rFonts w:cs="宋体"/>
                <w:b w:val="0"/>
                <w:bCs w:val="0"/>
                <w:color w:val="auto"/>
                <w:kern w:val="0"/>
                <w:sz w:val="15"/>
                <w:szCs w:val="15"/>
                <w:highlight w:val="none"/>
                <w:lang w:val="zh-CN" w:bidi="zh-CN"/>
              </w:rPr>
            </w:pPr>
            <w:r>
              <w:rPr>
                <w:rFonts w:cs="宋体"/>
                <w:b w:val="0"/>
                <w:bCs w:val="0"/>
                <w:color w:val="auto"/>
                <w:kern w:val="0"/>
                <w:sz w:val="15"/>
                <w:szCs w:val="15"/>
                <w:highlight w:val="none"/>
                <w:lang w:bidi="ar"/>
              </w:rPr>
              <w:t xml:space="preserve">1.67 </w:t>
            </w: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14ECB0D">
            <w:pPr>
              <w:spacing w:line="240" w:lineRule="auto"/>
              <w:ind w:firstLine="0" w:firstLineChars="0"/>
              <w:jc w:val="left"/>
              <w:rPr>
                <w:rFonts w:cs="宋体"/>
                <w:b w:val="0"/>
                <w:bCs w:val="0"/>
                <w:color w:val="auto"/>
                <w:kern w:val="0"/>
                <w:sz w:val="15"/>
                <w:szCs w:val="15"/>
                <w:highlight w:val="none"/>
                <w:lang w:val="zh-CN" w:bidi="zh-CN"/>
              </w:rPr>
            </w:pP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16D073F6">
            <w:pPr>
              <w:spacing w:line="240" w:lineRule="auto"/>
              <w:ind w:firstLine="0" w:firstLineChars="0"/>
              <w:jc w:val="left"/>
              <w:rPr>
                <w:rFonts w:cs="宋体"/>
                <w:b w:val="0"/>
                <w:bCs w:val="0"/>
                <w:color w:val="auto"/>
                <w:kern w:val="0"/>
                <w:sz w:val="15"/>
                <w:szCs w:val="15"/>
                <w:highlight w:val="none"/>
                <w:lang w:val="zh-CN" w:bidi="zh-CN"/>
              </w:rPr>
            </w:pPr>
          </w:p>
        </w:tc>
        <w:tc>
          <w:tcPr>
            <w:tcW w:w="265" w:type="pct"/>
            <w:tcBorders>
              <w:top w:val="single" w:color="000000" w:sz="4" w:space="0"/>
              <w:left w:val="single" w:color="000000" w:sz="4" w:space="0"/>
              <w:bottom w:val="single" w:color="000000" w:sz="4" w:space="0"/>
              <w:right w:val="single" w:color="000000" w:sz="4" w:space="0"/>
            </w:tcBorders>
            <w:noWrap/>
            <w:vAlign w:val="center"/>
          </w:tcPr>
          <w:p w14:paraId="55FD6DB9">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76672560">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6E11C58A">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3AD42E1A">
            <w:pPr>
              <w:spacing w:line="240" w:lineRule="auto"/>
              <w:ind w:firstLine="0" w:firstLineChars="0"/>
              <w:jc w:val="left"/>
              <w:rPr>
                <w:rFonts w:cs="宋体"/>
                <w:b w:val="0"/>
                <w:bCs w:val="0"/>
                <w:color w:val="auto"/>
                <w:kern w:val="0"/>
                <w:sz w:val="15"/>
                <w:szCs w:val="15"/>
                <w:highlight w:val="none"/>
                <w:lang w:val="zh-CN" w:bidi="zh-CN"/>
              </w:rPr>
            </w:pPr>
          </w:p>
        </w:tc>
        <w:tc>
          <w:tcPr>
            <w:tcW w:w="351" w:type="pct"/>
            <w:tcBorders>
              <w:top w:val="single" w:color="000000" w:sz="4" w:space="0"/>
              <w:left w:val="single" w:color="000000" w:sz="4" w:space="0"/>
              <w:bottom w:val="single" w:color="000000" w:sz="4" w:space="0"/>
              <w:right w:val="single" w:color="000000" w:sz="4" w:space="0"/>
            </w:tcBorders>
            <w:noWrap/>
            <w:vAlign w:val="center"/>
          </w:tcPr>
          <w:p w14:paraId="78F975BB">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1526826B">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166038A">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41A26F3E">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F927A84">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0172C27E">
            <w:pPr>
              <w:spacing w:line="240" w:lineRule="auto"/>
              <w:ind w:firstLine="0" w:firstLineChars="0"/>
              <w:jc w:val="left"/>
              <w:rPr>
                <w:rFonts w:cs="宋体"/>
                <w:b w:val="0"/>
                <w:bCs w:val="0"/>
                <w:color w:val="auto"/>
                <w:kern w:val="0"/>
                <w:sz w:val="15"/>
                <w:szCs w:val="15"/>
                <w:highlight w:val="none"/>
                <w:lang w:val="zh-CN" w:bidi="zh-CN"/>
              </w:rPr>
            </w:pPr>
          </w:p>
        </w:tc>
        <w:tc>
          <w:tcPr>
            <w:tcW w:w="284" w:type="pct"/>
            <w:tcBorders>
              <w:top w:val="single" w:color="000000" w:sz="4" w:space="0"/>
              <w:left w:val="single" w:color="000000" w:sz="4" w:space="0"/>
              <w:bottom w:val="single" w:color="000000" w:sz="4" w:space="0"/>
              <w:right w:val="single" w:color="000000" w:sz="4" w:space="0"/>
            </w:tcBorders>
            <w:noWrap/>
            <w:vAlign w:val="center"/>
          </w:tcPr>
          <w:p w14:paraId="2A9C1984">
            <w:pPr>
              <w:spacing w:line="240" w:lineRule="auto"/>
              <w:ind w:firstLine="0" w:firstLineChars="0"/>
              <w:jc w:val="left"/>
              <w:rPr>
                <w:rFonts w:cs="宋体"/>
                <w:b w:val="0"/>
                <w:bCs w:val="0"/>
                <w:color w:val="auto"/>
                <w:kern w:val="0"/>
                <w:sz w:val="15"/>
                <w:szCs w:val="15"/>
                <w:highlight w:val="none"/>
                <w:lang w:val="zh-CN" w:bidi="zh-CN"/>
              </w:rPr>
            </w:pPr>
          </w:p>
        </w:tc>
        <w:tc>
          <w:tcPr>
            <w:tcW w:w="285" w:type="pct"/>
            <w:tcBorders>
              <w:top w:val="single" w:color="000000" w:sz="4" w:space="0"/>
              <w:left w:val="single" w:color="000000" w:sz="4" w:space="0"/>
              <w:bottom w:val="single" w:color="000000" w:sz="4" w:space="0"/>
              <w:right w:val="single" w:color="000000" w:sz="4" w:space="0"/>
            </w:tcBorders>
            <w:noWrap/>
            <w:vAlign w:val="center"/>
          </w:tcPr>
          <w:p w14:paraId="418BAA35">
            <w:pPr>
              <w:spacing w:line="240" w:lineRule="auto"/>
              <w:ind w:firstLine="0" w:firstLineChars="0"/>
              <w:jc w:val="left"/>
              <w:rPr>
                <w:rFonts w:cs="宋体"/>
                <w:b w:val="0"/>
                <w:bCs w:val="0"/>
                <w:color w:val="auto"/>
                <w:kern w:val="0"/>
                <w:sz w:val="15"/>
                <w:szCs w:val="15"/>
                <w:highlight w:val="none"/>
                <w:lang w:val="zh-CN" w:bidi="zh-CN"/>
              </w:rPr>
            </w:pPr>
          </w:p>
        </w:tc>
      </w:tr>
    </w:tbl>
    <w:p w14:paraId="6098D2E6">
      <w:pPr>
        <w:pStyle w:val="31"/>
        <w:rPr>
          <w:rFonts w:hint="eastAsia"/>
          <w:color w:val="auto"/>
        </w:rPr>
      </w:pPr>
    </w:p>
    <w:p w14:paraId="49103DBA">
      <w:pPr>
        <w:spacing w:line="240" w:lineRule="auto"/>
        <w:ind w:firstLine="0" w:firstLineChars="0"/>
        <w:jc w:val="both"/>
        <w:rPr>
          <w:color w:val="auto"/>
        </w:rPr>
      </w:pPr>
      <w:r>
        <w:rPr>
          <w:rFonts w:hint="eastAsia"/>
          <w:color w:val="auto"/>
        </w:rPr>
        <w:br w:type="page"/>
      </w:r>
    </w:p>
    <w:p w14:paraId="430364F3">
      <w:pPr>
        <w:pStyle w:val="31"/>
        <w:rPr>
          <w:rFonts w:hint="eastAsia"/>
          <w:color w:val="auto"/>
        </w:rPr>
      </w:pPr>
      <w:r>
        <w:rPr>
          <w:rFonts w:hint="eastAsia"/>
          <w:color w:val="auto"/>
          <w:lang w:val="en-US" w:eastAsia="zh-Hans"/>
        </w:rPr>
        <w:t>项目资金测算平衡表</w:t>
      </w:r>
      <w:r>
        <w:rPr>
          <w:rFonts w:hint="eastAsia"/>
          <w:color w:val="auto"/>
        </w:rPr>
        <w:t>（金额单位：人民币万元）</w:t>
      </w:r>
    </w:p>
    <w:tbl>
      <w:tblPr>
        <w:tblStyle w:val="1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6"/>
        <w:gridCol w:w="1215"/>
        <w:gridCol w:w="1043"/>
        <w:gridCol w:w="896"/>
        <w:gridCol w:w="896"/>
        <w:gridCol w:w="896"/>
        <w:gridCol w:w="896"/>
        <w:gridCol w:w="896"/>
        <w:gridCol w:w="896"/>
        <w:gridCol w:w="896"/>
        <w:gridCol w:w="896"/>
        <w:gridCol w:w="896"/>
        <w:gridCol w:w="900"/>
        <w:gridCol w:w="900"/>
        <w:gridCol w:w="900"/>
        <w:gridCol w:w="901"/>
        <w:gridCol w:w="982"/>
      </w:tblGrid>
      <w:tr w14:paraId="51A57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34BD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序号</w:t>
            </w:r>
          </w:p>
        </w:tc>
        <w:tc>
          <w:tcPr>
            <w:tcW w:w="3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C9197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项目</w:t>
            </w: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1CE66AD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建设期</w:t>
            </w:r>
          </w:p>
        </w:tc>
        <w:tc>
          <w:tcPr>
            <w:tcW w:w="4049" w:type="pct"/>
            <w:gridSpan w:val="1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B7F2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运营期（年）</w:t>
            </w:r>
          </w:p>
        </w:tc>
      </w:tr>
      <w:tr w14:paraId="205EE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9D96E">
            <w:pPr>
              <w:jc w:val="center"/>
              <w:textAlignment w:val="center"/>
              <w:rPr>
                <w:rFonts w:hint="eastAsia" w:ascii="仿宋" w:hAnsi="仿宋" w:eastAsia="仿宋" w:cs="宋体"/>
                <w:i w:val="0"/>
                <w:iCs w:val="0"/>
                <w:color w:val="auto"/>
                <w:kern w:val="0"/>
                <w:sz w:val="13"/>
                <w:szCs w:val="13"/>
                <w:highlight w:val="none"/>
                <w:u w:val="none"/>
                <w:lang w:bidi="ar"/>
              </w:rPr>
            </w:pPr>
          </w:p>
        </w:tc>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8BD340">
            <w:pPr>
              <w:jc w:val="center"/>
              <w:textAlignment w:val="center"/>
              <w:rPr>
                <w:rFonts w:hint="eastAsia" w:ascii="仿宋" w:hAnsi="仿宋" w:eastAsia="仿宋" w:cs="宋体"/>
                <w:i w:val="0"/>
                <w:iCs w:val="0"/>
                <w:color w:val="auto"/>
                <w:kern w:val="0"/>
                <w:sz w:val="13"/>
                <w:szCs w:val="13"/>
                <w:highlight w:val="none"/>
                <w:u w:val="none"/>
                <w:lang w:bidi="ar"/>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8CE3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47B1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2589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5A8B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4511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0C4A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7EFA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D58A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7</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7841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8</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FEE6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8667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2476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11</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F11D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DAD0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13</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9FE6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14</w:t>
            </w:r>
          </w:p>
        </w:tc>
      </w:tr>
      <w:tr w14:paraId="6076D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AD9F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F409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经营活动净现金流量（1.1-1.2）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919E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5760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265.06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D9FE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312.23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5506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359.36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F4D3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418.99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56CE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420.84</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1882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427.00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DD53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462.11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DA34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460.53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152D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458.93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7A41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496.59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7449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503.12</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B322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501.38</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C26A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542.07</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511E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540.19</w:t>
            </w:r>
          </w:p>
        </w:tc>
      </w:tr>
      <w:tr w14:paraId="454E9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FEC1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1.1</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DD52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现金流入</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BDB4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A5FB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382.89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D159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439.62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78C3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496.35</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D529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567.76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AA94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571.18</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99E7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579.25</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91D4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622.46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2775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622.46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0846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622.46</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8910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668.89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8822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677.57</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C997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677.57</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C352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727.74</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AFC7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727.74</w:t>
            </w:r>
          </w:p>
        </w:tc>
      </w:tr>
      <w:tr w14:paraId="1C694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1FF1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1.1.1</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4B96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营业收入</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5AAD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6079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382.89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CDDB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439.62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122E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496.35</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B755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567.76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CB78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571.18</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0A61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579.25</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10F5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622.46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B442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622.46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E7F1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622.46</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8D80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668.89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CE94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677.57</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7011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677.57</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6EAB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727.74</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4DA9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727.74</w:t>
            </w:r>
          </w:p>
        </w:tc>
      </w:tr>
      <w:tr w14:paraId="54995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ACB13">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1.1.2</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9608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补贴收入</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EB3E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DB90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D873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5D9C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DA5B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64E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DD71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5572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1488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E8E2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4002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914F3">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379F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D2A0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58DD3">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r>
      <w:tr w14:paraId="0858D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33F6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1.1.3</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79F4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其他流入</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D35B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3728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DDB9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ACFC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90EC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5702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6964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BC6B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30C4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EDF2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8DBB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093E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AED9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F0215">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D4FEE">
            <w:pPr>
              <w:jc w:val="center"/>
              <w:textAlignment w:val="center"/>
              <w:rPr>
                <w:rFonts w:hint="eastAsia" w:ascii="仿宋" w:hAnsi="仿宋" w:eastAsia="仿宋" w:cs="宋体"/>
                <w:i w:val="0"/>
                <w:iCs w:val="0"/>
                <w:color w:val="auto"/>
                <w:kern w:val="0"/>
                <w:sz w:val="13"/>
                <w:szCs w:val="13"/>
                <w:highlight w:val="none"/>
                <w:u w:val="none"/>
                <w:lang w:bidi="ar"/>
              </w:rPr>
            </w:pPr>
          </w:p>
        </w:tc>
      </w:tr>
      <w:tr w14:paraId="2E7A5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7E24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7601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现金流出</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5EF5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31C7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117.83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2F90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127.39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81E3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136.99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3C2B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148.77</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282B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150.34</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E207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152.25</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D8E2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160.35</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52C2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161.93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56A0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163.53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6C0A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172.30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4985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174.45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B821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176.19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747E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185.67</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E9E8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187.55</w:t>
            </w:r>
          </w:p>
        </w:tc>
      </w:tr>
      <w:tr w14:paraId="1851B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D6BB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1.2.1</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97EB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经营成本</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E56B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9F6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80.02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608E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84.18</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9144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88.37</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6A14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93.35</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F0F0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94.92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27DE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96.83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4AAE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100.49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DA34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102.07</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67E73">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103.67</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9AAE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107.65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A47F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109.80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4DA0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111.54</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FFDD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115.85</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0AE5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117.73</w:t>
            </w:r>
          </w:p>
        </w:tc>
      </w:tr>
      <w:tr w14:paraId="13233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59D4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1.2.2</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86DE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税金及附加</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718E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E9E0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37.81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2268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43.21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A4AE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48.62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781B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55.42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EA7B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55.42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ED63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55.42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60E3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59.86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6DEE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59.86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1191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59.86</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488B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64.65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9575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64.65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E615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64.65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8DD6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69.82</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2F7E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69.82</w:t>
            </w:r>
          </w:p>
        </w:tc>
      </w:tr>
      <w:tr w14:paraId="4CD64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5072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1.2.3</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DC2D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所得税</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EFAE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A7BB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0A33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66FD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F9A2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471E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74A93">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583C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4B49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7FAA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9F0C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5001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2763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FC12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3E57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r>
      <w:tr w14:paraId="1F81A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C19D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99A1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投资活动净现金流量(2.1-2.2)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9C60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-12019.29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E1CE2">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2521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FC8F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4ED0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333A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D849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5B06D">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C31A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6EC5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59B6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181B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982E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87652">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A8F68">
            <w:pPr>
              <w:jc w:val="center"/>
              <w:textAlignment w:val="center"/>
              <w:rPr>
                <w:rFonts w:hint="eastAsia" w:ascii="仿宋" w:hAnsi="仿宋" w:eastAsia="仿宋" w:cs="宋体"/>
                <w:i w:val="0"/>
                <w:iCs w:val="0"/>
                <w:color w:val="auto"/>
                <w:kern w:val="0"/>
                <w:sz w:val="13"/>
                <w:szCs w:val="13"/>
                <w:highlight w:val="none"/>
                <w:u w:val="none"/>
                <w:lang w:bidi="ar"/>
              </w:rPr>
            </w:pPr>
          </w:p>
        </w:tc>
      </w:tr>
      <w:tr w14:paraId="7AD87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2DFA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2.1</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B9B1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现金流入</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9BE8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3B0B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D844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8176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9C7F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4844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5186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2480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69A92">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3122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39ED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7C03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9211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98FD5">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3B7FD">
            <w:pPr>
              <w:jc w:val="center"/>
              <w:textAlignment w:val="center"/>
              <w:rPr>
                <w:rFonts w:hint="eastAsia" w:ascii="仿宋" w:hAnsi="仿宋" w:eastAsia="仿宋" w:cs="宋体"/>
                <w:i w:val="0"/>
                <w:iCs w:val="0"/>
                <w:color w:val="auto"/>
                <w:kern w:val="0"/>
                <w:sz w:val="13"/>
                <w:szCs w:val="13"/>
                <w:highlight w:val="none"/>
                <w:u w:val="none"/>
                <w:lang w:bidi="ar"/>
              </w:rPr>
            </w:pPr>
          </w:p>
        </w:tc>
      </w:tr>
      <w:tr w14:paraId="50DD9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CBE6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2.2</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EE45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现金流出</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3190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12019.29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1F7B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D5FA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CC50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053CD">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A212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D810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56C9D">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224A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A054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CB14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D884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4C80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1B8D1">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962AB">
            <w:pPr>
              <w:jc w:val="center"/>
              <w:textAlignment w:val="center"/>
              <w:rPr>
                <w:rFonts w:hint="eastAsia" w:ascii="仿宋" w:hAnsi="仿宋" w:eastAsia="仿宋" w:cs="宋体"/>
                <w:i w:val="0"/>
                <w:iCs w:val="0"/>
                <w:color w:val="auto"/>
                <w:kern w:val="0"/>
                <w:sz w:val="13"/>
                <w:szCs w:val="13"/>
                <w:highlight w:val="none"/>
                <w:u w:val="none"/>
                <w:lang w:bidi="ar"/>
              </w:rPr>
            </w:pPr>
          </w:p>
        </w:tc>
      </w:tr>
      <w:tr w14:paraId="2A26F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DA8D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2.2.1</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52CA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建设投资</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99A6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12019.29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1AF8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039B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40BD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1D72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2468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A741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771C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470B2">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0DB02">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6BA5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F6EE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BDA9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2E305">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69867">
            <w:pPr>
              <w:jc w:val="center"/>
              <w:textAlignment w:val="center"/>
              <w:rPr>
                <w:rFonts w:hint="eastAsia" w:ascii="仿宋" w:hAnsi="仿宋" w:eastAsia="仿宋" w:cs="宋体"/>
                <w:i w:val="0"/>
                <w:iCs w:val="0"/>
                <w:color w:val="auto"/>
                <w:kern w:val="0"/>
                <w:sz w:val="13"/>
                <w:szCs w:val="13"/>
                <w:highlight w:val="none"/>
                <w:u w:val="none"/>
                <w:lang w:bidi="ar"/>
              </w:rPr>
            </w:pPr>
          </w:p>
        </w:tc>
      </w:tr>
      <w:tr w14:paraId="2B657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CCE63">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2.2.2</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F669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维持运营投资</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1093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B75B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0AAD2">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263A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A29D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1593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6182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BE19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8A2E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91EE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F333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64EA2">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EA09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E4E5A">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D3EC0">
            <w:pPr>
              <w:jc w:val="center"/>
              <w:textAlignment w:val="center"/>
              <w:rPr>
                <w:rFonts w:hint="eastAsia" w:ascii="仿宋" w:hAnsi="仿宋" w:eastAsia="仿宋" w:cs="宋体"/>
                <w:i w:val="0"/>
                <w:iCs w:val="0"/>
                <w:color w:val="auto"/>
                <w:kern w:val="0"/>
                <w:sz w:val="13"/>
                <w:szCs w:val="13"/>
                <w:highlight w:val="none"/>
                <w:u w:val="none"/>
                <w:lang w:bidi="ar"/>
              </w:rPr>
            </w:pPr>
          </w:p>
        </w:tc>
      </w:tr>
      <w:tr w14:paraId="2A9C5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1F0A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2.2.3</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CF1C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流动资金</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1D96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1531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E99D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79FD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0D88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6C56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EE13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EB4E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E0B4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4ADD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3073D">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24B5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41B6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CEE59">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7E529">
            <w:pPr>
              <w:jc w:val="center"/>
              <w:textAlignment w:val="center"/>
              <w:rPr>
                <w:rFonts w:hint="eastAsia" w:ascii="仿宋" w:hAnsi="仿宋" w:eastAsia="仿宋" w:cs="宋体"/>
                <w:i w:val="0"/>
                <w:iCs w:val="0"/>
                <w:color w:val="auto"/>
                <w:kern w:val="0"/>
                <w:sz w:val="13"/>
                <w:szCs w:val="13"/>
                <w:highlight w:val="none"/>
                <w:u w:val="none"/>
                <w:lang w:bidi="ar"/>
              </w:rPr>
            </w:pPr>
          </w:p>
        </w:tc>
      </w:tr>
      <w:tr w14:paraId="14470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6977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2.2.4</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A6A6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其他流出</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E9F3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68A5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F1E6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C2B4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B616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9025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0FE4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97F0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D956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53D5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33AE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D282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7FD9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9A4B4">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6F279">
            <w:pPr>
              <w:jc w:val="center"/>
              <w:textAlignment w:val="center"/>
              <w:rPr>
                <w:rFonts w:hint="eastAsia" w:ascii="仿宋" w:hAnsi="仿宋" w:eastAsia="仿宋" w:cs="宋体"/>
                <w:i w:val="0"/>
                <w:iCs w:val="0"/>
                <w:color w:val="auto"/>
                <w:kern w:val="0"/>
                <w:sz w:val="13"/>
                <w:szCs w:val="13"/>
                <w:highlight w:val="none"/>
                <w:u w:val="none"/>
                <w:lang w:bidi="ar"/>
              </w:rPr>
            </w:pPr>
          </w:p>
        </w:tc>
      </w:tr>
      <w:tr w14:paraId="3C16A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16CD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855B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筹资活动净现金流量(3.1-3.2)</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64A4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12019.29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7220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2379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5AE2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EB29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51CE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4E79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3EC2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FE813">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02D0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65DD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7248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27B0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C96C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A53F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r>
      <w:tr w14:paraId="34817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3815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3.1</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C358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现金流入</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A3D1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12019.29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9FF5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30AF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32A6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52D6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33FD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6359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350F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361B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68B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3B2D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6BE4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F1B7D">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EF625">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22EA0">
            <w:pPr>
              <w:jc w:val="center"/>
              <w:textAlignment w:val="center"/>
              <w:rPr>
                <w:rFonts w:hint="eastAsia" w:ascii="仿宋" w:hAnsi="仿宋" w:eastAsia="仿宋" w:cs="宋体"/>
                <w:i w:val="0"/>
                <w:iCs w:val="0"/>
                <w:color w:val="auto"/>
                <w:kern w:val="0"/>
                <w:sz w:val="13"/>
                <w:szCs w:val="13"/>
                <w:highlight w:val="none"/>
                <w:u w:val="none"/>
                <w:lang w:bidi="ar"/>
              </w:rPr>
            </w:pPr>
          </w:p>
        </w:tc>
      </w:tr>
      <w:tr w14:paraId="35D70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0076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3.1.1</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6429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项目资本金投入</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63AC3">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5619.29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960A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4134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207D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2419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B192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D73B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C925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5A17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4D85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D4CA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839E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BCF7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D9595">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157E6">
            <w:pPr>
              <w:jc w:val="center"/>
              <w:textAlignment w:val="center"/>
              <w:rPr>
                <w:rFonts w:hint="eastAsia" w:ascii="仿宋" w:hAnsi="仿宋" w:eastAsia="仿宋" w:cs="宋体"/>
                <w:i w:val="0"/>
                <w:iCs w:val="0"/>
                <w:color w:val="auto"/>
                <w:kern w:val="0"/>
                <w:sz w:val="13"/>
                <w:szCs w:val="13"/>
                <w:highlight w:val="none"/>
                <w:u w:val="none"/>
                <w:lang w:bidi="ar"/>
              </w:rPr>
            </w:pPr>
          </w:p>
        </w:tc>
      </w:tr>
      <w:tr w14:paraId="121CE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247A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3.1.2</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00EB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建设投资借款</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D26F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42FB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7A1E2">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B9BE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5805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1149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DE7B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18E4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95BC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0143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89C7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E591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F34A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9D094">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733AC">
            <w:pPr>
              <w:jc w:val="center"/>
              <w:textAlignment w:val="center"/>
              <w:rPr>
                <w:rFonts w:hint="eastAsia" w:ascii="仿宋" w:hAnsi="仿宋" w:eastAsia="仿宋" w:cs="宋体"/>
                <w:i w:val="0"/>
                <w:iCs w:val="0"/>
                <w:color w:val="auto"/>
                <w:kern w:val="0"/>
                <w:sz w:val="13"/>
                <w:szCs w:val="13"/>
                <w:highlight w:val="none"/>
                <w:u w:val="none"/>
                <w:lang w:bidi="ar"/>
              </w:rPr>
            </w:pPr>
          </w:p>
        </w:tc>
      </w:tr>
      <w:tr w14:paraId="31EF4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1783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3.1.3</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82DA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流动资金借款</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CBA7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AE1F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ADB0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CDE5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1B11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FA50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E4FA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CB8A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AF1D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323D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EBFF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BD84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8821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6728A">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43A55">
            <w:pPr>
              <w:jc w:val="center"/>
              <w:textAlignment w:val="center"/>
              <w:rPr>
                <w:rFonts w:hint="eastAsia" w:ascii="仿宋" w:hAnsi="仿宋" w:eastAsia="仿宋" w:cs="宋体"/>
                <w:i w:val="0"/>
                <w:iCs w:val="0"/>
                <w:color w:val="auto"/>
                <w:kern w:val="0"/>
                <w:sz w:val="13"/>
                <w:szCs w:val="13"/>
                <w:highlight w:val="none"/>
                <w:u w:val="none"/>
                <w:lang w:bidi="ar"/>
              </w:rPr>
            </w:pPr>
          </w:p>
        </w:tc>
      </w:tr>
      <w:tr w14:paraId="7A08C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8D20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3.1.4</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81D6D">
            <w:pPr>
              <w:keepNext w:val="0"/>
              <w:keepLines w:val="0"/>
              <w:widowControl/>
              <w:suppressLineNumbers w:val="0"/>
              <w:spacing w:line="240" w:lineRule="auto"/>
              <w:ind w:firstLine="0" w:firstLineChars="0"/>
              <w:jc w:val="center"/>
              <w:textAlignment w:val="center"/>
              <w:rPr>
                <w:rFonts w:hint="eastAsia" w:ascii="仿宋" w:hAnsi="仿宋" w:eastAsia="仿宋" w:cs="宋体"/>
                <w:b w:val="0"/>
                <w:bCs w:val="0"/>
                <w:i w:val="0"/>
                <w:iCs w:val="0"/>
                <w:color w:val="auto"/>
                <w:kern w:val="0"/>
                <w:sz w:val="13"/>
                <w:szCs w:val="13"/>
                <w:highlight w:val="none"/>
                <w:u w:val="none"/>
                <w:lang w:bidi="ar"/>
              </w:rPr>
            </w:pPr>
            <w:r>
              <w:rPr>
                <w:rFonts w:hint="eastAsia" w:ascii="仿宋" w:hAnsi="仿宋" w:eastAsia="仿宋" w:cs="宋体"/>
                <w:b w:val="0"/>
                <w:bCs w:val="0"/>
                <w:i w:val="0"/>
                <w:iCs w:val="0"/>
                <w:color w:val="auto"/>
                <w:kern w:val="0"/>
                <w:sz w:val="13"/>
                <w:szCs w:val="13"/>
                <w:highlight w:val="none"/>
                <w:u w:val="none"/>
                <w:lang w:val="en-US" w:eastAsia="zh-CN" w:bidi="ar"/>
              </w:rPr>
              <w:t>债券资金流入</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2558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6400.00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D8C62">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A959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2846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B16D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856B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2F694">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85BF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13CF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7DCB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D0C7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46E4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9132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15643">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0F5A9">
            <w:pPr>
              <w:jc w:val="center"/>
              <w:textAlignment w:val="center"/>
              <w:rPr>
                <w:rFonts w:hint="eastAsia" w:ascii="仿宋" w:hAnsi="仿宋" w:eastAsia="仿宋" w:cs="宋体"/>
                <w:i w:val="0"/>
                <w:iCs w:val="0"/>
                <w:color w:val="auto"/>
                <w:kern w:val="0"/>
                <w:sz w:val="13"/>
                <w:szCs w:val="13"/>
                <w:highlight w:val="none"/>
                <w:u w:val="none"/>
                <w:lang w:bidi="ar"/>
              </w:rPr>
            </w:pPr>
          </w:p>
        </w:tc>
      </w:tr>
      <w:tr w14:paraId="522F1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7549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3.1.5</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86283">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市场化融资流入</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B589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4655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A848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2A29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8213E">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0421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B5BF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CE91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093E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4D9E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AA5ED">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F26BD">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AF73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CA6F2">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B8358">
            <w:pPr>
              <w:jc w:val="center"/>
              <w:textAlignment w:val="center"/>
              <w:rPr>
                <w:rFonts w:hint="eastAsia" w:ascii="仿宋" w:hAnsi="仿宋" w:eastAsia="仿宋" w:cs="宋体"/>
                <w:i w:val="0"/>
                <w:iCs w:val="0"/>
                <w:color w:val="auto"/>
                <w:kern w:val="0"/>
                <w:sz w:val="13"/>
                <w:szCs w:val="13"/>
                <w:highlight w:val="none"/>
                <w:u w:val="none"/>
                <w:lang w:bidi="ar"/>
              </w:rPr>
            </w:pPr>
          </w:p>
        </w:tc>
      </w:tr>
      <w:tr w14:paraId="6108B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601B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3.1.6</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CD99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其他流入</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22EB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A94A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6206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F235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8200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555B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5D71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6DE0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CD422">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1264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3EF7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DAAB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AD4D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E9511">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3395A">
            <w:pPr>
              <w:jc w:val="center"/>
              <w:textAlignment w:val="center"/>
              <w:rPr>
                <w:rFonts w:hint="eastAsia" w:ascii="仿宋" w:hAnsi="仿宋" w:eastAsia="仿宋" w:cs="宋体"/>
                <w:i w:val="0"/>
                <w:iCs w:val="0"/>
                <w:color w:val="auto"/>
                <w:kern w:val="0"/>
                <w:sz w:val="13"/>
                <w:szCs w:val="13"/>
                <w:highlight w:val="none"/>
                <w:u w:val="none"/>
                <w:lang w:bidi="ar"/>
              </w:rPr>
            </w:pPr>
          </w:p>
        </w:tc>
      </w:tr>
      <w:tr w14:paraId="527C0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E64A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3.2</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4661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现金流出</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7B27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3C9F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FF2B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4783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4142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CAD2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9243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9993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B306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8B3E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206EF">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97DF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72AD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D8F3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2CD5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r>
      <w:tr w14:paraId="7534F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23F9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3.2.1</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6D9E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各种利息支出</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8270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C5D4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9E6A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5A46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3D4E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715E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F5D8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2C73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7B61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02BD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90F5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DEB5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2854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3072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3819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204.80</w:t>
            </w:r>
          </w:p>
        </w:tc>
      </w:tr>
      <w:tr w14:paraId="5A8B5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F5FA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3.2.2</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119B6">
            <w:pPr>
              <w:keepNext w:val="0"/>
              <w:keepLines w:val="0"/>
              <w:widowControl/>
              <w:suppressLineNumbers w:val="0"/>
              <w:spacing w:line="240" w:lineRule="auto"/>
              <w:ind w:firstLine="0" w:firstLineChars="0"/>
              <w:jc w:val="center"/>
              <w:textAlignment w:val="center"/>
              <w:rPr>
                <w:rFonts w:hint="eastAsia" w:ascii="仿宋" w:hAnsi="仿宋" w:eastAsia="仿宋" w:cs="宋体"/>
                <w:b w:val="0"/>
                <w:bCs w:val="0"/>
                <w:i w:val="0"/>
                <w:iCs w:val="0"/>
                <w:color w:val="auto"/>
                <w:kern w:val="0"/>
                <w:sz w:val="13"/>
                <w:szCs w:val="13"/>
                <w:highlight w:val="none"/>
                <w:u w:val="none"/>
                <w:lang w:bidi="ar"/>
              </w:rPr>
            </w:pPr>
            <w:r>
              <w:rPr>
                <w:rFonts w:hint="eastAsia" w:ascii="仿宋" w:hAnsi="仿宋" w:eastAsia="仿宋" w:cs="宋体"/>
                <w:b w:val="0"/>
                <w:bCs w:val="0"/>
                <w:i w:val="0"/>
                <w:iCs w:val="0"/>
                <w:color w:val="auto"/>
                <w:kern w:val="0"/>
                <w:sz w:val="13"/>
                <w:szCs w:val="13"/>
                <w:highlight w:val="none"/>
                <w:u w:val="none"/>
                <w:lang w:val="en-US" w:eastAsia="zh-CN" w:bidi="ar"/>
              </w:rPr>
              <w:t>偿还债券本金流出</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134F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C69E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B2A1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B7FB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069B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6CA72">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86F1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C1F3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BAFF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BB92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4A21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D051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15F3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B912F">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C6EF3">
            <w:pPr>
              <w:jc w:val="center"/>
              <w:textAlignment w:val="center"/>
              <w:rPr>
                <w:rFonts w:hint="eastAsia" w:ascii="仿宋" w:hAnsi="仿宋" w:eastAsia="仿宋" w:cs="宋体"/>
                <w:i w:val="0"/>
                <w:iCs w:val="0"/>
                <w:color w:val="auto"/>
                <w:kern w:val="0"/>
                <w:sz w:val="13"/>
                <w:szCs w:val="13"/>
                <w:highlight w:val="none"/>
                <w:u w:val="none"/>
                <w:lang w:bidi="ar"/>
              </w:rPr>
            </w:pPr>
          </w:p>
        </w:tc>
      </w:tr>
      <w:tr w14:paraId="6F2E6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F980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3.2.3</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F1AC2">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偿还市场化融资本金流出</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DC07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F07F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797F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A8B75">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E217C">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35AA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710D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19FE8">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515C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E0D91">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BF22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37462">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B40C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4B0B3">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2360C">
            <w:pPr>
              <w:jc w:val="center"/>
              <w:textAlignment w:val="center"/>
              <w:rPr>
                <w:rFonts w:hint="eastAsia" w:ascii="仿宋" w:hAnsi="仿宋" w:eastAsia="仿宋" w:cs="宋体"/>
                <w:i w:val="0"/>
                <w:iCs w:val="0"/>
                <w:color w:val="auto"/>
                <w:kern w:val="0"/>
                <w:sz w:val="13"/>
                <w:szCs w:val="13"/>
                <w:highlight w:val="none"/>
                <w:u w:val="none"/>
                <w:lang w:bidi="ar"/>
              </w:rPr>
            </w:pPr>
          </w:p>
        </w:tc>
      </w:tr>
      <w:tr w14:paraId="55998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037E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3.2.4</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CAC5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其他流出</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3173B">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F3BF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03BD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BE87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C9AC9">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2F9C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4E7BA">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1571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762C6">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1BBBF">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2F627">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0E483">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0FB00">
            <w:pPr>
              <w:jc w:val="center"/>
              <w:textAlignment w:val="center"/>
              <w:rPr>
                <w:rFonts w:hint="eastAsia" w:ascii="仿宋" w:hAnsi="仿宋" w:eastAsia="仿宋" w:cs="宋体"/>
                <w:i w:val="0"/>
                <w:iCs w:val="0"/>
                <w:color w:val="auto"/>
                <w:kern w:val="0"/>
                <w:sz w:val="13"/>
                <w:szCs w:val="13"/>
                <w:highlight w:val="none"/>
                <w:u w:val="none"/>
                <w:lang w:bidi="ar"/>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81ED5">
            <w:pPr>
              <w:jc w:val="center"/>
              <w:textAlignment w:val="center"/>
              <w:rPr>
                <w:rFonts w:hint="eastAsia" w:ascii="仿宋" w:hAnsi="仿宋" w:eastAsia="仿宋" w:cs="宋体"/>
                <w:i w:val="0"/>
                <w:iCs w:val="0"/>
                <w:color w:val="auto"/>
                <w:kern w:val="0"/>
                <w:sz w:val="13"/>
                <w:szCs w:val="13"/>
                <w:highlight w:val="none"/>
                <w:u w:val="none"/>
                <w:lang w:bidi="ar"/>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03DB">
            <w:pPr>
              <w:jc w:val="center"/>
              <w:textAlignment w:val="center"/>
              <w:rPr>
                <w:rFonts w:hint="eastAsia" w:ascii="仿宋" w:hAnsi="仿宋" w:eastAsia="仿宋" w:cs="宋体"/>
                <w:i w:val="0"/>
                <w:iCs w:val="0"/>
                <w:color w:val="auto"/>
                <w:kern w:val="0"/>
                <w:sz w:val="13"/>
                <w:szCs w:val="13"/>
                <w:highlight w:val="none"/>
                <w:u w:val="none"/>
                <w:lang w:bidi="ar"/>
              </w:rPr>
            </w:pPr>
          </w:p>
        </w:tc>
      </w:tr>
      <w:tr w14:paraId="193C3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784F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4</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66ED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净现金流量（1+2+3）</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30DB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3350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60.26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AE70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107.43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A6EC6">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154.56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4EE93">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214.19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1DA93">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216.04</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1FB6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222.20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2CE2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257.31</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3DCD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255.73</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30B7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254.13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EA52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291.79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CCB04">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298.32</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8FC6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296.58</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558C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337.27</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0212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335.39</w:t>
            </w:r>
          </w:p>
        </w:tc>
      </w:tr>
      <w:tr w14:paraId="73DC6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92417">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B807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累计盈余资金</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5E24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0.00</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94C5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60.26</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0E9E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167.69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8F74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322.25</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52FE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536.44</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609DE">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752.48</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63289">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974.68</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9354C">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1231.99</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65425">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1487.72</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36528">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1741.85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87BCD">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2033.64</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40CDA">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2331.96</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67CB0">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2628.54</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C9441">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2965.81</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8168B">
            <w:pPr>
              <w:keepNext w:val="0"/>
              <w:keepLines w:val="0"/>
              <w:widowControl/>
              <w:suppressLineNumbers w:val="0"/>
              <w:spacing w:line="240" w:lineRule="auto"/>
              <w:ind w:firstLine="0" w:firstLineChars="0"/>
              <w:jc w:val="center"/>
              <w:textAlignment w:val="center"/>
              <w:rPr>
                <w:rFonts w:hint="eastAsia" w:ascii="仿宋" w:hAnsi="仿宋" w:eastAsia="仿宋" w:cs="宋体"/>
                <w:i w:val="0"/>
                <w:iCs w:val="0"/>
                <w:color w:val="auto"/>
                <w:kern w:val="0"/>
                <w:sz w:val="13"/>
                <w:szCs w:val="13"/>
                <w:highlight w:val="none"/>
                <w:u w:val="none"/>
                <w:lang w:bidi="ar"/>
              </w:rPr>
            </w:pPr>
            <w:r>
              <w:rPr>
                <w:rFonts w:hint="eastAsia" w:ascii="仿宋" w:hAnsi="仿宋" w:eastAsia="仿宋" w:cs="宋体"/>
                <w:i w:val="0"/>
                <w:iCs w:val="0"/>
                <w:color w:val="auto"/>
                <w:kern w:val="0"/>
                <w:sz w:val="13"/>
                <w:szCs w:val="13"/>
                <w:highlight w:val="none"/>
                <w:u w:val="none"/>
                <w:lang w:val="en-US" w:eastAsia="zh-CN" w:bidi="ar"/>
              </w:rPr>
              <w:t>3301.20</w:t>
            </w:r>
          </w:p>
        </w:tc>
      </w:tr>
    </w:tbl>
    <w:p w14:paraId="3075DDD1">
      <w:pPr>
        <w:pStyle w:val="31"/>
        <w:jc w:val="both"/>
        <w:rPr>
          <w:rFonts w:hint="eastAsia" w:eastAsia="仿宋"/>
          <w:color w:val="auto"/>
          <w:lang w:val="en-US" w:eastAsia="zh-CN"/>
        </w:rPr>
      </w:pPr>
      <w:r>
        <w:rPr>
          <w:rFonts w:hint="eastAsia"/>
          <w:color w:val="auto"/>
          <w:lang w:val="en-US" w:eastAsia="zh-CN"/>
        </w:rPr>
        <w:t>续表：</w:t>
      </w:r>
    </w:p>
    <w:tbl>
      <w:tblPr>
        <w:tblStyle w:val="1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2"/>
        <w:gridCol w:w="1111"/>
        <w:gridCol w:w="852"/>
        <w:gridCol w:w="852"/>
        <w:gridCol w:w="853"/>
        <w:gridCol w:w="853"/>
        <w:gridCol w:w="853"/>
        <w:gridCol w:w="853"/>
        <w:gridCol w:w="853"/>
        <w:gridCol w:w="853"/>
        <w:gridCol w:w="853"/>
        <w:gridCol w:w="853"/>
        <w:gridCol w:w="853"/>
        <w:gridCol w:w="853"/>
        <w:gridCol w:w="853"/>
        <w:gridCol w:w="853"/>
        <w:gridCol w:w="959"/>
        <w:gridCol w:w="959"/>
      </w:tblGrid>
      <w:tr w14:paraId="1EF98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F75C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序号</w:t>
            </w:r>
          </w:p>
        </w:tc>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3875B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项目</w:t>
            </w:r>
          </w:p>
        </w:tc>
        <w:tc>
          <w:tcPr>
            <w:tcW w:w="4129" w:type="pct"/>
            <w:gridSpan w:val="1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ED04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运营期（年）</w:t>
            </w:r>
          </w:p>
        </w:tc>
        <w:tc>
          <w:tcPr>
            <w:tcW w:w="30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B2F9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合计</w:t>
            </w:r>
          </w:p>
        </w:tc>
      </w:tr>
      <w:tr w14:paraId="25B93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4BC2F">
            <w:pPr>
              <w:jc w:val="center"/>
              <w:textAlignment w:val="center"/>
              <w:rPr>
                <w:rFonts w:hint="default" w:ascii="仿宋" w:hAnsi="仿宋" w:eastAsia="仿宋" w:cs="宋体"/>
                <w:i w:val="0"/>
                <w:iCs w:val="0"/>
                <w:color w:val="auto"/>
                <w:kern w:val="0"/>
                <w:sz w:val="13"/>
                <w:szCs w:val="13"/>
                <w:highlight w:val="none"/>
                <w:u w:val="none"/>
                <w:lang w:bidi="ar"/>
              </w:rPr>
            </w:pPr>
          </w:p>
        </w:tc>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0DC42">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6CA1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15</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5202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03E5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1053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BFC6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19</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8F81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3B6A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292D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C4F8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7DF7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6538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25</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D199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8B99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5CD1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28</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FA45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29</w:t>
            </w:r>
          </w:p>
        </w:tc>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EAB93">
            <w:pPr>
              <w:jc w:val="center"/>
              <w:textAlignment w:val="center"/>
              <w:rPr>
                <w:rFonts w:hint="default" w:ascii="仿宋" w:hAnsi="仿宋" w:eastAsia="仿宋" w:cs="宋体"/>
                <w:i w:val="0"/>
                <w:iCs w:val="0"/>
                <w:color w:val="auto"/>
                <w:kern w:val="0"/>
                <w:sz w:val="13"/>
                <w:szCs w:val="13"/>
                <w:highlight w:val="none"/>
                <w:u w:val="none"/>
                <w:lang w:bidi="ar"/>
              </w:rPr>
            </w:pPr>
          </w:p>
        </w:tc>
      </w:tr>
      <w:tr w14:paraId="19370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2298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64B8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经营活动净现金流量（1.1-1.2）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8999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538.29</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9066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591.89</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D822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589.85</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97DE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587.74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5847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632.34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D94E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630.12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89BE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583.36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D36C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603.83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62EF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601.38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A5A4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598.86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2C77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644.81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1B42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652.56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3599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649.81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0197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699.41</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D17D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696.50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EEBE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15469.15</w:t>
            </w:r>
          </w:p>
        </w:tc>
      </w:tr>
      <w:tr w14:paraId="00594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F9A0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1.1</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2EE6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现金流入</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80C2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727.74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2448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792.11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B5D8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792.11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E83D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792.11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A9FE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847.68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5D44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847.68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AEDC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858.24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F50A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918.36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34CD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918.36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3932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918.36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604A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983.17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9C9D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995.07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8E63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995.07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EF0B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1065.10</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0DF3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1065.10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B711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21900.20</w:t>
            </w:r>
          </w:p>
        </w:tc>
      </w:tr>
      <w:tr w14:paraId="62EF7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F45F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1.1.1</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6960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营业收入</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F5E8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727.74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2C93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792.11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11DF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792.11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FAC7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792.11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58B4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847.68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35F8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847.68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CE20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858.24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BD9B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918.36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C23D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918.36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8611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918.36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F103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983.17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F785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995.07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E2E4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995.07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F525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1065.10</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EE1E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1065.10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E915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21900.20</w:t>
            </w:r>
          </w:p>
        </w:tc>
      </w:tr>
      <w:tr w14:paraId="1935A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7CC6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1.1.2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943B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补贴收入</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12B9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B734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9632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D226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0E2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D913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3464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CEC9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90A0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4077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771E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2A79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3DBD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71F5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6653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A51F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r>
      <w:tr w14:paraId="21352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ADD8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1.1.3</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90BE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其他流入</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B26B2">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434F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7242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A7DF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4781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E943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8AD5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053D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F86C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D3F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671F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BD5A2">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C6BC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CEE82">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45AAF">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9C75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r>
      <w:tr w14:paraId="41BB1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3D84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2503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现金流出</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6988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189.45</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45E1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200.22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CBD8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202.26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ABB9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204.37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34F0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215.34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66D4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217.56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5FB5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274.88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5F51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314.53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47C8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316.98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3D01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319.50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0985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338.36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343D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342.51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048B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345.26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0BE1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365.69</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3B87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368.60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453E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6431.05</w:t>
            </w:r>
          </w:p>
        </w:tc>
      </w:tr>
      <w:tr w14:paraId="56166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6BF7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1.2.1</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0DA1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经营成本</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CD69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119.63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9F24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124.82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40C8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126.86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199F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128.97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1B01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133.90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AF72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136.12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D854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138.93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226B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144.31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404A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146.76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D4B9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149.28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9DDA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155.10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893D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158.38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A190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161.13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6A0C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167.47</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D84C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170.38</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1531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3568.51</w:t>
            </w:r>
          </w:p>
        </w:tc>
      </w:tr>
      <w:tr w14:paraId="754EA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96A6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C604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税金及附加</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0447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69.82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0755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75.40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BEDF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75.40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1ABC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75.40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3CA0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81.44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445C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81.44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4CAE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135.95</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EFBC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170.22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616F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170.22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6D81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170.22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0F5B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183.26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8503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184.13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1C1B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184.13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DA6A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198.22</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3219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198.22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AB61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2862.54</w:t>
            </w:r>
          </w:p>
        </w:tc>
      </w:tr>
      <w:tr w14:paraId="13476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6F88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1.2.3</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250D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所得税</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7ACD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5AC7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8B0D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8380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99DF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89FC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5648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745C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5A92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E201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E818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3432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E1BD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D662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FA8A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7011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r>
      <w:tr w14:paraId="09EC1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388A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D9FF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投资活动净现金流量(2.1-2.2)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511A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83F1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B8D1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7EF1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829B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DBA6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67D3F">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50122">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2FAC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81E9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0132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5AF7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A9A2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E1D4C">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44F83">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87E7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-12019.29</w:t>
            </w:r>
          </w:p>
        </w:tc>
      </w:tr>
      <w:tr w14:paraId="3DD46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C18B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2.1</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5FEB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现金流入</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CA7A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CA07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99D9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5350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565B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31DB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FFE2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7CFC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7DAF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E10D2">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1478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9264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04FC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51988">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C35AA">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4A75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r>
      <w:tr w14:paraId="15E50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ED69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6B2A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现金流出</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96DA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20DA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18A2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453A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81A3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1143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C164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BD62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2824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484E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1341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9CA2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430E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368C3">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0B823">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84EA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12019.29</w:t>
            </w:r>
          </w:p>
        </w:tc>
      </w:tr>
      <w:tr w14:paraId="57A39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0E7F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2.2.1</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A099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建设投资</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51C8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9115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72EE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6DBC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7E3D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F212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CAF3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52DC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66DB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7426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99BF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56AA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1DF6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CD6A7">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F9DC1">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8C61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12019.29</w:t>
            </w:r>
          </w:p>
        </w:tc>
      </w:tr>
      <w:tr w14:paraId="1EA39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4FC0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2.2.2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4558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维持运营投资</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072E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BFB9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7FE02">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13E8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73C5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D8AE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1206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00ED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F2CF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E473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5832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1590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D15DF">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CE826">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B3052">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F21FE">
            <w:pPr>
              <w:jc w:val="center"/>
              <w:textAlignment w:val="center"/>
              <w:rPr>
                <w:rFonts w:hint="default" w:ascii="仿宋" w:hAnsi="仿宋" w:eastAsia="仿宋" w:cs="宋体"/>
                <w:i w:val="0"/>
                <w:iCs w:val="0"/>
                <w:color w:val="auto"/>
                <w:kern w:val="0"/>
                <w:sz w:val="13"/>
                <w:szCs w:val="13"/>
                <w:highlight w:val="none"/>
                <w:u w:val="none"/>
                <w:lang w:bidi="ar"/>
              </w:rPr>
            </w:pPr>
          </w:p>
        </w:tc>
      </w:tr>
      <w:tr w14:paraId="791CC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1118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2.2.3</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A699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流动资金</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CAC9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FBFCF">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DD06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91D6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6B9A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A5AA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BEA8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1BDA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EB6C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D99C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FFFF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DAC1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F742F">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A3C19">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DF219">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7E355">
            <w:pPr>
              <w:jc w:val="center"/>
              <w:textAlignment w:val="center"/>
              <w:rPr>
                <w:rFonts w:hint="default" w:ascii="仿宋" w:hAnsi="仿宋" w:eastAsia="仿宋" w:cs="宋体"/>
                <w:i w:val="0"/>
                <w:iCs w:val="0"/>
                <w:color w:val="auto"/>
                <w:kern w:val="0"/>
                <w:sz w:val="13"/>
                <w:szCs w:val="13"/>
                <w:highlight w:val="none"/>
                <w:u w:val="none"/>
                <w:lang w:bidi="ar"/>
              </w:rPr>
            </w:pPr>
          </w:p>
        </w:tc>
      </w:tr>
      <w:tr w14:paraId="5E935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6072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2.2.4</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225B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其他流出</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6C52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2836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A98E2">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8793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E165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25C7F">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8858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0B3F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FC46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C840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A532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71F5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7D7D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DCE0B">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6FBFC">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4A4CD">
            <w:pPr>
              <w:jc w:val="center"/>
              <w:textAlignment w:val="center"/>
              <w:rPr>
                <w:rFonts w:hint="default" w:ascii="仿宋" w:hAnsi="仿宋" w:eastAsia="仿宋" w:cs="宋体"/>
                <w:i w:val="0"/>
                <w:iCs w:val="0"/>
                <w:color w:val="auto"/>
                <w:kern w:val="0"/>
                <w:sz w:val="13"/>
                <w:szCs w:val="13"/>
                <w:highlight w:val="none"/>
                <w:u w:val="none"/>
                <w:lang w:bidi="ar"/>
              </w:rPr>
            </w:pPr>
          </w:p>
        </w:tc>
      </w:tr>
      <w:tr w14:paraId="6ED10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9A23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8355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筹资活动净现金流量(3.1-3.2)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3A48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E70E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30E8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ACE6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BBA8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72AC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AC56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CE3B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7846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E1EC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93F5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8AA4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07E3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8D0B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84A3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-6604.80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BFFB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-319.91</w:t>
            </w:r>
          </w:p>
        </w:tc>
      </w:tr>
      <w:tr w14:paraId="2A69D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8959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D71F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现金流入</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6B8A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E315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30B6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D357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BA18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4861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27B9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8D0B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A122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8334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E2C8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435A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0060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5877A">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BD0BB">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D683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12019.29</w:t>
            </w:r>
          </w:p>
        </w:tc>
      </w:tr>
      <w:tr w14:paraId="60714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35C9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3.1.1</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80E7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项目资本金投入</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844C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7DCC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8A8C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CF58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2B24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C2F9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CEF7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239B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8AB2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22E0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D0D7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5D5E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92C2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0C699">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DADEB">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E8AE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5619.29</w:t>
            </w:r>
          </w:p>
        </w:tc>
      </w:tr>
      <w:tr w14:paraId="075D4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E022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413B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建设投资借款</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0AAB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671E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30C1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1E50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596E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E526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753A2">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AFD5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D7EB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194F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656A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C1F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E1BE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A251C">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E7952">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7942B">
            <w:pPr>
              <w:jc w:val="center"/>
              <w:textAlignment w:val="center"/>
              <w:rPr>
                <w:rFonts w:hint="default" w:ascii="仿宋" w:hAnsi="仿宋" w:eastAsia="仿宋" w:cs="宋体"/>
                <w:i w:val="0"/>
                <w:iCs w:val="0"/>
                <w:color w:val="auto"/>
                <w:kern w:val="0"/>
                <w:sz w:val="13"/>
                <w:szCs w:val="13"/>
                <w:highlight w:val="none"/>
                <w:u w:val="none"/>
                <w:lang w:bidi="ar"/>
              </w:rPr>
            </w:pPr>
          </w:p>
        </w:tc>
      </w:tr>
      <w:tr w14:paraId="5C263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79C6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3.1.3</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EECD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流动资金借款</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28F7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0FBA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A6E3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0BF5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7CD5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F77BF">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B8D2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89AD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635B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4B1F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3C47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C0BA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7490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17802">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19FD7">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23DEA">
            <w:pPr>
              <w:jc w:val="center"/>
              <w:textAlignment w:val="center"/>
              <w:rPr>
                <w:rFonts w:hint="default" w:ascii="仿宋" w:hAnsi="仿宋" w:eastAsia="仿宋" w:cs="宋体"/>
                <w:i w:val="0"/>
                <w:iCs w:val="0"/>
                <w:color w:val="auto"/>
                <w:kern w:val="0"/>
                <w:sz w:val="13"/>
                <w:szCs w:val="13"/>
                <w:highlight w:val="none"/>
                <w:u w:val="none"/>
                <w:lang w:bidi="ar"/>
              </w:rPr>
            </w:pPr>
          </w:p>
        </w:tc>
      </w:tr>
      <w:tr w14:paraId="6D1DA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D094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3.1.4</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95E1C">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3"/>
                <w:szCs w:val="13"/>
                <w:highlight w:val="none"/>
                <w:u w:val="none"/>
                <w:lang w:bidi="ar"/>
              </w:rPr>
            </w:pPr>
            <w:r>
              <w:rPr>
                <w:rFonts w:hint="default" w:ascii="仿宋" w:hAnsi="仿宋" w:eastAsia="仿宋" w:cs="宋体"/>
                <w:b w:val="0"/>
                <w:bCs w:val="0"/>
                <w:i w:val="0"/>
                <w:iCs w:val="0"/>
                <w:color w:val="auto"/>
                <w:kern w:val="0"/>
                <w:sz w:val="13"/>
                <w:szCs w:val="13"/>
                <w:highlight w:val="none"/>
                <w:u w:val="none"/>
                <w:lang w:val="en-US" w:eastAsia="zh-CN" w:bidi="ar"/>
              </w:rPr>
              <w:t>债券资金流入</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FCC8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88B5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2ED0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626E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C144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1A11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8154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28BB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E740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C414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9353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1BBA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D12F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02631">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A4C51">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75EA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6400.00</w:t>
            </w:r>
          </w:p>
        </w:tc>
      </w:tr>
      <w:tr w14:paraId="788E2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53E6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3.1.5</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6C8D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市场化融资流入</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FA402">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303EF">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AC7F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9287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BD24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B0EA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F86C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CDB6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9578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30C4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C74F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9AF1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8868F">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C71B0">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D0E2A">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FFF4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r>
      <w:tr w14:paraId="5EA3A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ECBE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3.1.6</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0647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其他流入</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01A3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FD82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48FF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CD57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47C4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B994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082EF">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4B42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9B75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7035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F090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B468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CC20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2494B">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12F4F">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3F6A6">
            <w:pPr>
              <w:jc w:val="center"/>
              <w:textAlignment w:val="center"/>
              <w:rPr>
                <w:rFonts w:hint="default" w:ascii="仿宋" w:hAnsi="仿宋" w:eastAsia="仿宋" w:cs="宋体"/>
                <w:i w:val="0"/>
                <w:iCs w:val="0"/>
                <w:color w:val="auto"/>
                <w:kern w:val="0"/>
                <w:sz w:val="13"/>
                <w:szCs w:val="13"/>
                <w:highlight w:val="none"/>
                <w:u w:val="none"/>
                <w:lang w:bidi="ar"/>
              </w:rPr>
            </w:pPr>
          </w:p>
        </w:tc>
      </w:tr>
      <w:tr w14:paraId="0797A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8E94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7432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现金流出</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30E1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AB04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C440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BF85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740A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6AC0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8C4B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1D3C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7318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3DEB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E319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9909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853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1188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8033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6604.80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056F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12339.20</w:t>
            </w:r>
          </w:p>
        </w:tc>
      </w:tr>
      <w:tr w14:paraId="5903D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52D8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3.2.1</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30E9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各种利息支出</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7FEE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026D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FDBE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5478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EC29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1B53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3608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5B4B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024E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BAD4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C23D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D4CA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8AEA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D4A87">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F2D5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204.80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B1BF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5939.20</w:t>
            </w:r>
          </w:p>
        </w:tc>
      </w:tr>
      <w:tr w14:paraId="7840C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2C7C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3.2.2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CEB8B">
            <w:pPr>
              <w:keepNext w:val="0"/>
              <w:keepLines w:val="0"/>
              <w:widowControl/>
              <w:suppressLineNumbers w:val="0"/>
              <w:spacing w:line="240" w:lineRule="auto"/>
              <w:ind w:firstLine="0" w:firstLineChars="0"/>
              <w:jc w:val="center"/>
              <w:textAlignment w:val="center"/>
              <w:rPr>
                <w:rFonts w:hint="default" w:ascii="仿宋" w:hAnsi="仿宋" w:eastAsia="仿宋" w:cs="宋体"/>
                <w:b w:val="0"/>
                <w:bCs w:val="0"/>
                <w:i w:val="0"/>
                <w:iCs w:val="0"/>
                <w:color w:val="auto"/>
                <w:kern w:val="0"/>
                <w:sz w:val="13"/>
                <w:szCs w:val="13"/>
                <w:highlight w:val="none"/>
                <w:u w:val="none"/>
                <w:lang w:bidi="ar"/>
              </w:rPr>
            </w:pPr>
            <w:r>
              <w:rPr>
                <w:rFonts w:hint="default" w:ascii="仿宋" w:hAnsi="仿宋" w:eastAsia="仿宋" w:cs="宋体"/>
                <w:b w:val="0"/>
                <w:bCs w:val="0"/>
                <w:i w:val="0"/>
                <w:iCs w:val="0"/>
                <w:color w:val="auto"/>
                <w:kern w:val="0"/>
                <w:sz w:val="13"/>
                <w:szCs w:val="13"/>
                <w:highlight w:val="none"/>
                <w:u w:val="none"/>
                <w:lang w:val="en-US" w:eastAsia="zh-CN" w:bidi="ar"/>
              </w:rPr>
              <w:t>偿还债券本金流出</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AAC4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991E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FACD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4CF2F">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A941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A1A2F">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E3CF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7605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0A43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EEFC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9741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0B22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4591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20086">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A7EF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6400.00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760F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6400.00</w:t>
            </w:r>
          </w:p>
        </w:tc>
      </w:tr>
      <w:tr w14:paraId="1C856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C0B7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3.2.3</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9252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偿还市场化融资本金流出</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7090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7546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5CCD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2B1C7">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DDAB2">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91DA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48FA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16F7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4BD49">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B873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1BBC5">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E4EB8">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751E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D3808">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BDE75">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59DF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r>
      <w:tr w14:paraId="2F994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48DD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3.2.4</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5A46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其他流出</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49DA1">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853ED">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66A2C">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4819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CC5B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DCFFE">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269F6">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5D450">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C084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E3B33">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B8EBB">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16924">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F5EFA">
            <w:pPr>
              <w:jc w:val="center"/>
              <w:textAlignment w:val="center"/>
              <w:rPr>
                <w:rFonts w:hint="default" w:ascii="仿宋" w:hAnsi="仿宋" w:eastAsia="仿宋" w:cs="宋体"/>
                <w:i w:val="0"/>
                <w:iCs w:val="0"/>
                <w:color w:val="auto"/>
                <w:kern w:val="0"/>
                <w:sz w:val="13"/>
                <w:szCs w:val="13"/>
                <w:highlight w:val="none"/>
                <w:u w:val="none"/>
                <w:lang w:bidi="ar"/>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DE171">
            <w:pPr>
              <w:jc w:val="center"/>
              <w:textAlignment w:val="center"/>
              <w:rPr>
                <w:rFonts w:hint="default" w:ascii="仿宋" w:hAnsi="仿宋" w:eastAsia="仿宋" w:cs="宋体"/>
                <w:i w:val="0"/>
                <w:iCs w:val="0"/>
                <w:color w:val="auto"/>
                <w:kern w:val="0"/>
                <w:sz w:val="13"/>
                <w:szCs w:val="13"/>
                <w:highlight w:val="none"/>
                <w:u w:val="none"/>
                <w:lang w:bidi="ar"/>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7CDB3">
            <w:pPr>
              <w:jc w:val="center"/>
              <w:textAlignment w:val="center"/>
              <w:rPr>
                <w:rFonts w:hint="default" w:ascii="仿宋" w:hAnsi="仿宋" w:eastAsia="仿宋" w:cs="宋体"/>
                <w:i w:val="0"/>
                <w:iCs w:val="0"/>
                <w:color w:val="auto"/>
                <w:kern w:val="0"/>
                <w:sz w:val="13"/>
                <w:szCs w:val="13"/>
                <w:highlight w:val="none"/>
                <w:u w:val="none"/>
                <w:lang w:bidi="ar"/>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CCE8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0.00</w:t>
            </w:r>
          </w:p>
        </w:tc>
      </w:tr>
      <w:tr w14:paraId="65E45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824B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4</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6F79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净现金流量（1+2+3）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DE77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333.49</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5809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387.09</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D96A8">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385.05</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00C3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382.94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77F55">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427.54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12621">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425.32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E874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378.56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A608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399.03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E9F6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396.58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1E64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394.06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E38E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440.01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C0BE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447.76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4F919">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445.01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0279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494.61</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9B1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-5908.30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5060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3129.95</w:t>
            </w:r>
          </w:p>
        </w:tc>
      </w:tr>
      <w:tr w14:paraId="5962F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B26A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222A0">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累计盈余资金</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9280F">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3634.69</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E0A9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4021.78</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0CA84">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4406.83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19F3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4789.77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D751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5217.31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E96FA">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5642.63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48402">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6021.19</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9D3A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6420.22</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40153">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6816.80</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6F2EC">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7210.86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0BD86">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7650.87</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D2CEE">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8098.63</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C348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8543.64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8BEBD">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9038.25</w:t>
            </w:r>
          </w:p>
        </w:tc>
        <w:tc>
          <w:tcPr>
            <w:tcW w:w="3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200B">
            <w:pPr>
              <w:keepNext w:val="0"/>
              <w:keepLines w:val="0"/>
              <w:widowControl/>
              <w:suppressLineNumbers w:val="0"/>
              <w:spacing w:line="240" w:lineRule="auto"/>
              <w:ind w:firstLine="0" w:firstLineChars="0"/>
              <w:jc w:val="center"/>
              <w:textAlignment w:val="center"/>
              <w:rPr>
                <w:rFonts w:hint="default" w:ascii="仿宋" w:hAnsi="仿宋" w:eastAsia="仿宋" w:cs="宋体"/>
                <w:i w:val="0"/>
                <w:iCs w:val="0"/>
                <w:color w:val="auto"/>
                <w:kern w:val="0"/>
                <w:sz w:val="13"/>
                <w:szCs w:val="13"/>
                <w:highlight w:val="none"/>
                <w:u w:val="none"/>
                <w:lang w:bidi="ar"/>
              </w:rPr>
            </w:pPr>
            <w:r>
              <w:rPr>
                <w:rFonts w:hint="default" w:ascii="仿宋" w:hAnsi="仿宋" w:eastAsia="仿宋" w:cs="宋体"/>
                <w:i w:val="0"/>
                <w:iCs w:val="0"/>
                <w:color w:val="auto"/>
                <w:kern w:val="0"/>
                <w:sz w:val="13"/>
                <w:szCs w:val="13"/>
                <w:highlight w:val="none"/>
                <w:u w:val="none"/>
                <w:lang w:val="en-US" w:eastAsia="zh-CN" w:bidi="ar"/>
              </w:rPr>
              <w:t>3129.95</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79608">
            <w:pPr>
              <w:jc w:val="center"/>
              <w:textAlignment w:val="center"/>
              <w:rPr>
                <w:rFonts w:hint="default" w:ascii="仿宋" w:hAnsi="仿宋" w:eastAsia="仿宋" w:cs="宋体"/>
                <w:i w:val="0"/>
                <w:iCs w:val="0"/>
                <w:color w:val="auto"/>
                <w:kern w:val="0"/>
                <w:sz w:val="13"/>
                <w:szCs w:val="13"/>
                <w:highlight w:val="none"/>
                <w:u w:val="none"/>
                <w:lang w:bidi="ar"/>
              </w:rPr>
            </w:pPr>
          </w:p>
        </w:tc>
      </w:tr>
    </w:tbl>
    <w:p w14:paraId="3D0EBE73">
      <w:pPr>
        <w:pStyle w:val="31"/>
        <w:rPr>
          <w:color w:val="auto"/>
        </w:rPr>
      </w:pPr>
    </w:p>
    <w:p w14:paraId="2D491CE1">
      <w:pPr>
        <w:pStyle w:val="20"/>
        <w:ind w:firstLine="440"/>
        <w:rPr>
          <w:color w:val="auto"/>
        </w:rPr>
        <w:sectPr>
          <w:pgSz w:w="16838" w:h="11906" w:orient="landscape"/>
          <w:pgMar w:top="720" w:right="720" w:bottom="720" w:left="720" w:header="709" w:footer="567" w:gutter="0"/>
          <w:cols w:space="425" w:num="1"/>
          <w:docGrid w:type="lines" w:linePitch="326" w:charSpace="0"/>
        </w:sectPr>
      </w:pPr>
    </w:p>
    <w:p w14:paraId="5527F525">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五、项目绩效目标</w:t>
      </w:r>
    </w:p>
    <w:p w14:paraId="2805923B">
      <w:pPr>
        <w:spacing w:before="157" w:beforeLines="50" w:after="157" w:afterLines="50" w:line="360" w:lineRule="auto"/>
        <w:ind w:firstLine="643"/>
        <w:outlineLvl w:val="1"/>
        <w:rPr>
          <w:rFonts w:hint="default" w:ascii="楷体_GB2312" w:hAnsi="Calibri" w:eastAsia="楷体_GB2312"/>
          <w:b/>
          <w:color w:val="auto"/>
          <w:sz w:val="32"/>
          <w:szCs w:val="32"/>
          <w:lang w:val="en-US" w:eastAsia="zh-Hans"/>
        </w:rPr>
      </w:pPr>
      <w:r>
        <w:rPr>
          <w:rFonts w:hint="eastAsia" w:ascii="楷体_GB2312" w:hAnsi="Calibri" w:eastAsia="楷体_GB2312"/>
          <w:b/>
          <w:color w:val="auto"/>
          <w:sz w:val="32"/>
          <w:szCs w:val="32"/>
        </w:rPr>
        <w:t>（一）</w:t>
      </w:r>
      <w:r>
        <w:rPr>
          <w:rFonts w:hint="eastAsia" w:ascii="楷体_GB2312" w:hAnsi="Calibri" w:eastAsia="楷体_GB2312"/>
          <w:b/>
          <w:color w:val="auto"/>
          <w:sz w:val="32"/>
          <w:szCs w:val="32"/>
          <w:lang w:val="en-US" w:eastAsia="zh-Hans"/>
        </w:rPr>
        <w:t>产出目标</w:t>
      </w:r>
    </w:p>
    <w:p w14:paraId="4BC49970">
      <w:pPr>
        <w:pStyle w:val="12"/>
        <w:widowControl w:val="0"/>
        <w:spacing w:beforeAutospacing="0" w:afterAutospacing="0"/>
        <w:rPr>
          <w:rFonts w:hint="default"/>
          <w:bCs w:val="0"/>
          <w:color w:val="auto"/>
          <w:lang w:val="en-US" w:eastAsia="zh-CN"/>
        </w:rPr>
      </w:pPr>
      <w:r>
        <w:rPr>
          <w:rFonts w:hint="default"/>
          <w:bCs w:val="0"/>
          <w:color w:val="auto"/>
          <w:lang w:val="en-US" w:eastAsia="zh-CN"/>
        </w:rPr>
        <w:t>数量目标：</w:t>
      </w:r>
      <w:r>
        <w:rPr>
          <w:rFonts w:ascii="仿宋" w:hAnsi="仿宋" w:eastAsia="仿宋" w:cs="Times New Roman"/>
          <w:color w:val="auto"/>
          <w:kern w:val="0"/>
          <w:sz w:val="24"/>
          <w:szCs w:val="24"/>
          <w:lang w:val="en-US" w:eastAsia="zh-CN" w:bidi="ar"/>
        </w:rPr>
        <w:t>规</w:t>
      </w:r>
      <w:r>
        <w:rPr>
          <w:rFonts w:hint="default" w:ascii="仿宋" w:hAnsi="仿宋" w:eastAsia="仿宋" w:cs="Times New Roman"/>
          <w:color w:val="auto"/>
          <w:kern w:val="0"/>
          <w:sz w:val="24"/>
          <w:szCs w:val="24"/>
          <w:lang w:val="en-US" w:eastAsia="zh-CN" w:bidi="ar"/>
        </w:rPr>
        <w:t>划总建筑面积约17437㎡，其中新建物流配送中心2920㎡、1#、2#高标准仓库8395㎡、分拣包装中心2862㎡、附属冷链冷库1800㎡和检验检测中心600㎡、配套业务用房398㎡，地下建筑面积461㎡；配套建设室外道路、停车场、充电桩及附属基础工程</w:t>
      </w:r>
      <w:r>
        <w:rPr>
          <w:rFonts w:hint="default"/>
          <w:color w:val="auto"/>
        </w:rPr>
        <w:t>。</w:t>
      </w:r>
    </w:p>
    <w:p w14:paraId="43578444">
      <w:pPr>
        <w:pStyle w:val="12"/>
        <w:adjustRightInd/>
        <w:snapToGrid/>
        <w:spacing w:beforeAutospacing="0" w:afterAutospacing="0"/>
        <w:jc w:val="left"/>
        <w:rPr>
          <w:rFonts w:hint="default"/>
          <w:bCs w:val="0"/>
          <w:color w:val="auto"/>
          <w:lang w:val="en-US" w:eastAsia="zh-CN"/>
        </w:rPr>
      </w:pPr>
      <w:r>
        <w:rPr>
          <w:rFonts w:hint="default"/>
          <w:bCs w:val="0"/>
          <w:color w:val="auto"/>
          <w:lang w:val="en-US" w:eastAsia="zh-CN"/>
        </w:rPr>
        <w:t>质量目标：符合验收标准，达到行业基准水平。</w:t>
      </w:r>
    </w:p>
    <w:p w14:paraId="42C53C5C">
      <w:pPr>
        <w:pStyle w:val="12"/>
        <w:adjustRightInd/>
        <w:snapToGrid/>
        <w:spacing w:beforeAutospacing="0" w:afterAutospacing="0"/>
        <w:jc w:val="left"/>
        <w:rPr>
          <w:rFonts w:hint="default"/>
          <w:bCs w:val="0"/>
          <w:color w:val="auto"/>
          <w:lang w:val="en-US" w:eastAsia="zh-CN"/>
        </w:rPr>
      </w:pPr>
      <w:r>
        <w:rPr>
          <w:rFonts w:hint="default"/>
          <w:bCs w:val="0"/>
          <w:color w:val="auto"/>
          <w:lang w:val="en-US" w:eastAsia="zh-CN"/>
        </w:rPr>
        <w:t>时效目标：本项目建设期跨度2年，严格执行工程建设程序，合理有序的安排项目建设进度。</w:t>
      </w:r>
    </w:p>
    <w:p w14:paraId="29B2419E">
      <w:pPr>
        <w:pStyle w:val="12"/>
        <w:adjustRightInd/>
        <w:snapToGrid/>
        <w:spacing w:beforeAutospacing="0" w:afterAutospacing="0"/>
        <w:jc w:val="left"/>
        <w:rPr>
          <w:rFonts w:hint="default"/>
          <w:bCs w:val="0"/>
          <w:color w:val="auto"/>
          <w:lang w:val="en-US" w:eastAsia="zh-CN"/>
        </w:rPr>
      </w:pPr>
      <w:r>
        <w:rPr>
          <w:rFonts w:hint="default"/>
          <w:bCs w:val="0"/>
          <w:color w:val="auto"/>
          <w:lang w:val="en-US" w:eastAsia="zh-CN"/>
        </w:rPr>
        <w:t>成本目标：项目总投资12019.29万元。</w:t>
      </w:r>
    </w:p>
    <w:p w14:paraId="392D11DB">
      <w:pPr>
        <w:pageBreakBefore w:val="0"/>
        <w:kinsoku/>
        <w:wordWrap/>
        <w:overflowPunct/>
        <w:topLinePunct w:val="0"/>
        <w:autoSpaceDE/>
        <w:autoSpaceDN/>
        <w:bidi w:val="0"/>
        <w:adjustRightInd w:val="0"/>
        <w:snapToGrid w:val="0"/>
        <w:spacing w:before="10" w:after="217" w:afterLines="50" w:line="360" w:lineRule="auto"/>
        <w:ind w:firstLine="643" w:firstLineChars="200"/>
        <w:outlineLvl w:val="1"/>
        <w:rPr>
          <w:rFonts w:hint="default" w:eastAsia="楷体_GB2312"/>
          <w:color w:val="auto"/>
          <w:kern w:val="0"/>
          <w:lang w:val="en-US" w:eastAsia="zh-CN"/>
        </w:rPr>
      </w:pPr>
      <w:r>
        <w:rPr>
          <w:rFonts w:hint="eastAsia" w:ascii="楷体_GB2312" w:eastAsia="楷体_GB2312"/>
          <w:b/>
          <w:color w:val="auto"/>
          <w:sz w:val="32"/>
          <w:szCs w:val="32"/>
        </w:rPr>
        <w:t>（</w:t>
      </w:r>
      <w:r>
        <w:rPr>
          <w:rFonts w:hint="eastAsia" w:ascii="楷体_GB2312" w:eastAsia="楷体_GB2312"/>
          <w:b/>
          <w:color w:val="auto"/>
          <w:sz w:val="32"/>
          <w:szCs w:val="32"/>
          <w:lang w:val="en-US" w:eastAsia="zh-CN"/>
        </w:rPr>
        <w:t>二</w:t>
      </w:r>
      <w:r>
        <w:rPr>
          <w:rFonts w:hint="eastAsia" w:ascii="楷体_GB2312" w:eastAsia="楷体_GB2312"/>
          <w:b/>
          <w:color w:val="auto"/>
          <w:sz w:val="32"/>
          <w:szCs w:val="32"/>
        </w:rPr>
        <w:t>）</w:t>
      </w:r>
      <w:r>
        <w:rPr>
          <w:rFonts w:hint="eastAsia" w:ascii="楷体_GB2312" w:eastAsia="楷体_GB2312"/>
          <w:b/>
          <w:color w:val="auto"/>
          <w:sz w:val="32"/>
          <w:szCs w:val="32"/>
          <w:lang w:val="en-US" w:eastAsia="zh-CN"/>
        </w:rPr>
        <w:t>效益目标</w:t>
      </w:r>
    </w:p>
    <w:p w14:paraId="60A8D609">
      <w:pPr>
        <w:pageBreakBefore w:val="0"/>
        <w:kinsoku/>
        <w:wordWrap/>
        <w:overflowPunct/>
        <w:topLinePunct w:val="0"/>
        <w:autoSpaceDE/>
        <w:autoSpaceDN/>
        <w:bidi w:val="0"/>
        <w:adjustRightInd w:val="0"/>
        <w:snapToGrid w:val="0"/>
        <w:ind w:firstLine="480" w:firstLineChars="200"/>
        <w:rPr>
          <w:rFonts w:hint="eastAsia"/>
          <w:bCs/>
          <w:color w:val="auto"/>
        </w:rPr>
      </w:pPr>
      <w:r>
        <w:rPr>
          <w:rFonts w:hint="eastAsia"/>
          <w:color w:val="auto"/>
          <w:kern w:val="0"/>
          <w:lang w:val="en-US" w:eastAsia="zh-CN"/>
        </w:rPr>
        <w:t>经</w:t>
      </w:r>
      <w:r>
        <w:rPr>
          <w:rFonts w:hint="eastAsia"/>
          <w:bCs/>
          <w:color w:val="auto"/>
          <w:kern w:val="2"/>
          <w:lang w:val="en-US" w:eastAsia="zh-CN"/>
        </w:rPr>
        <w:t>济效益目标：</w:t>
      </w:r>
      <w:r>
        <w:rPr>
          <w:rFonts w:hint="eastAsia"/>
          <w:bCs/>
          <w:color w:val="auto"/>
        </w:rPr>
        <w:t>冕宁县兴农仓储物流园区建设项目收入来源主要为项目建成后</w:t>
      </w:r>
      <w:r>
        <w:rPr>
          <w:rFonts w:hint="eastAsia"/>
          <w:bCs/>
          <w:color w:val="auto"/>
          <w:lang w:val="en-US" w:eastAsia="zh-CN"/>
        </w:rPr>
        <w:t>门诊收入、住院收入</w:t>
      </w:r>
      <w:r>
        <w:rPr>
          <w:rFonts w:hint="eastAsia"/>
          <w:bCs/>
          <w:color w:val="auto"/>
        </w:rPr>
        <w:t>，待本项目全部</w:t>
      </w:r>
      <w:r>
        <w:rPr>
          <w:rFonts w:hint="eastAsia"/>
          <w:bCs/>
          <w:color w:val="auto"/>
          <w:lang w:val="en-US" w:eastAsia="zh-CN"/>
        </w:rPr>
        <w:t>6400.00</w:t>
      </w:r>
      <w:r>
        <w:rPr>
          <w:rFonts w:hint="eastAsia"/>
          <w:bCs/>
          <w:color w:val="auto"/>
        </w:rPr>
        <w:t>万元专项债到期时，在偿还到期的融资本息后，将仍有</w:t>
      </w:r>
      <w:r>
        <w:rPr>
          <w:rFonts w:hint="eastAsia" w:ascii="仿宋" w:hAnsi="仿宋" w:eastAsia="仿宋" w:cs="Times New Roman"/>
          <w:bCs/>
          <w:color w:val="auto"/>
          <w:kern w:val="2"/>
          <w:sz w:val="24"/>
          <w:szCs w:val="24"/>
          <w:lang w:val="en-US" w:eastAsia="zh-CN" w:bidi="ar"/>
        </w:rPr>
        <w:t>3129.95</w:t>
      </w:r>
      <w:r>
        <w:rPr>
          <w:rFonts w:hint="eastAsia"/>
          <w:bCs/>
          <w:color w:val="auto"/>
        </w:rPr>
        <w:t>万元的累计现金结余。项目预期收益可用以偿还债务本息，实现资金平衡，</w:t>
      </w:r>
      <w:r>
        <w:rPr>
          <w:rFonts w:hint="eastAsia"/>
          <w:bCs/>
          <w:color w:val="auto"/>
          <w:kern w:val="2"/>
        </w:rPr>
        <w:t>其中：项目债券本息覆盖倍数为1.</w:t>
      </w:r>
      <w:r>
        <w:rPr>
          <w:rFonts w:hint="eastAsia"/>
          <w:bCs/>
          <w:color w:val="auto"/>
          <w:kern w:val="2"/>
          <w:lang w:val="en-US" w:eastAsia="zh-CN"/>
        </w:rPr>
        <w:t>23</w:t>
      </w:r>
      <w:r>
        <w:rPr>
          <w:rFonts w:hint="eastAsia"/>
          <w:bCs/>
          <w:color w:val="auto"/>
          <w:kern w:val="2"/>
        </w:rPr>
        <w:t>倍</w:t>
      </w:r>
      <w:r>
        <w:rPr>
          <w:rFonts w:hint="eastAsia"/>
          <w:bCs/>
          <w:color w:val="auto"/>
        </w:rPr>
        <w:t>。</w:t>
      </w:r>
    </w:p>
    <w:p w14:paraId="718E88DE">
      <w:pPr>
        <w:pageBreakBefore w:val="0"/>
        <w:kinsoku/>
        <w:wordWrap/>
        <w:overflowPunct/>
        <w:topLinePunct w:val="0"/>
        <w:autoSpaceDE/>
        <w:autoSpaceDN/>
        <w:bidi w:val="0"/>
        <w:adjustRightInd w:val="0"/>
        <w:snapToGrid w:val="0"/>
        <w:spacing w:line="360" w:lineRule="auto"/>
        <w:ind w:firstLine="480" w:firstLineChars="200"/>
        <w:rPr>
          <w:rFonts w:hint="eastAsia"/>
          <w:bCs/>
          <w:color w:val="auto"/>
        </w:rPr>
      </w:pPr>
      <w:r>
        <w:rPr>
          <w:rFonts w:hint="eastAsia"/>
          <w:bCs/>
          <w:color w:val="auto"/>
          <w:lang w:val="en-US" w:eastAsia="zh-CN"/>
        </w:rPr>
        <w:t>社会效益目标：</w:t>
      </w:r>
      <w:r>
        <w:rPr>
          <w:rFonts w:hint="eastAsia"/>
          <w:bCs/>
          <w:color w:val="auto"/>
        </w:rPr>
        <w:t>项目的建设符合国家乡村振兴战略，有助于改善农民生活水平。通过现代化的物流设施和服务，农民能够更快捷地将农产品运送到市场，提高销售价格和收入。</w:t>
      </w:r>
    </w:p>
    <w:p w14:paraId="4E112223">
      <w:pPr>
        <w:pageBreakBefore w:val="0"/>
        <w:kinsoku/>
        <w:wordWrap/>
        <w:overflowPunct/>
        <w:topLinePunct w:val="0"/>
        <w:autoSpaceDE/>
        <w:autoSpaceDN/>
        <w:bidi w:val="0"/>
        <w:adjustRightInd w:val="0"/>
        <w:snapToGrid w:val="0"/>
        <w:spacing w:line="360" w:lineRule="auto"/>
        <w:ind w:firstLine="480" w:firstLineChars="200"/>
        <w:rPr>
          <w:rFonts w:hint="eastAsia" w:eastAsia="仿宋"/>
          <w:color w:val="auto"/>
          <w:lang w:eastAsia="zh-CN"/>
        </w:rPr>
      </w:pPr>
      <w:r>
        <w:rPr>
          <w:rFonts w:hint="eastAsia"/>
          <w:bCs/>
          <w:color w:val="auto"/>
          <w:lang w:val="en-US" w:eastAsia="zh-CN"/>
        </w:rPr>
        <w:t>可持续影响目标：</w:t>
      </w:r>
      <w:r>
        <w:rPr>
          <w:rFonts w:hint="eastAsia"/>
          <w:bCs/>
          <w:color w:val="auto"/>
        </w:rPr>
        <w:t>改善人们的居住与</w:t>
      </w:r>
      <w:r>
        <w:rPr>
          <w:color w:val="auto"/>
        </w:rPr>
        <w:t>生存条件，维护社会安定团结，提升城市环境吸引力，赢得更多的发展机遇</w:t>
      </w:r>
      <w:r>
        <w:rPr>
          <w:rFonts w:hint="eastAsia"/>
          <w:color w:val="auto"/>
          <w:lang w:eastAsia="zh-CN"/>
        </w:rPr>
        <w:t>。</w:t>
      </w:r>
    </w:p>
    <w:p w14:paraId="012C65C7">
      <w:pPr>
        <w:spacing w:before="10" w:after="217" w:afterLines="50" w:line="360" w:lineRule="auto"/>
        <w:ind w:firstLine="643" w:firstLineChars="200"/>
        <w:outlineLvl w:val="1"/>
        <w:rPr>
          <w:rFonts w:hint="eastAsia"/>
          <w:color w:val="auto"/>
          <w:lang w:val="en-US" w:eastAsia="zh-CN"/>
        </w:rPr>
      </w:pPr>
      <w:r>
        <w:rPr>
          <w:rFonts w:hint="eastAsia" w:ascii="楷体_GB2312" w:eastAsia="楷体_GB2312"/>
          <w:b/>
          <w:color w:val="auto"/>
          <w:sz w:val="32"/>
          <w:szCs w:val="32"/>
        </w:rPr>
        <w:t>（</w:t>
      </w:r>
      <w:r>
        <w:rPr>
          <w:rFonts w:hint="eastAsia" w:ascii="楷体_GB2312" w:eastAsia="楷体_GB2312"/>
          <w:b/>
          <w:color w:val="auto"/>
          <w:sz w:val="32"/>
          <w:szCs w:val="32"/>
          <w:lang w:val="en-US" w:eastAsia="zh-Hans"/>
        </w:rPr>
        <w:t>三</w:t>
      </w:r>
      <w:r>
        <w:rPr>
          <w:rFonts w:hint="eastAsia" w:ascii="楷体_GB2312" w:eastAsia="楷体_GB2312"/>
          <w:b/>
          <w:color w:val="auto"/>
          <w:sz w:val="32"/>
          <w:szCs w:val="32"/>
        </w:rPr>
        <w:t>）</w:t>
      </w:r>
      <w:r>
        <w:rPr>
          <w:rFonts w:hint="eastAsia" w:ascii="楷体_GB2312" w:eastAsia="楷体_GB2312"/>
          <w:b/>
          <w:color w:val="auto"/>
          <w:sz w:val="32"/>
          <w:szCs w:val="32"/>
          <w:lang w:val="en-US" w:eastAsia="zh-Hans"/>
        </w:rPr>
        <w:t>满意度</w:t>
      </w:r>
      <w:r>
        <w:rPr>
          <w:rFonts w:hint="eastAsia" w:ascii="楷体_GB2312" w:eastAsia="楷体_GB2312"/>
          <w:b/>
          <w:color w:val="auto"/>
          <w:sz w:val="32"/>
          <w:szCs w:val="32"/>
          <w:lang w:val="en-US" w:eastAsia="zh-CN"/>
        </w:rPr>
        <w:t>目标</w:t>
      </w:r>
    </w:p>
    <w:p w14:paraId="36A881BC">
      <w:pPr>
        <w:pageBreakBefore w:val="0"/>
        <w:kinsoku/>
        <w:wordWrap/>
        <w:overflowPunct/>
        <w:topLinePunct w:val="0"/>
        <w:autoSpaceDE/>
        <w:autoSpaceDN/>
        <w:bidi w:val="0"/>
        <w:adjustRightInd w:val="0"/>
        <w:snapToGrid w:val="0"/>
        <w:spacing w:after="0" w:line="360" w:lineRule="auto"/>
        <w:ind w:firstLine="480" w:firstLineChars="200"/>
        <w:rPr>
          <w:rFonts w:hint="eastAsia" w:ascii="仿宋" w:hAnsi="仿宋"/>
          <w:bCs/>
          <w:color w:val="auto"/>
          <w:lang w:val="en-US" w:eastAsia="zh-CN"/>
        </w:rPr>
      </w:pPr>
      <w:r>
        <w:rPr>
          <w:rFonts w:hint="eastAsia" w:ascii="仿宋" w:hAnsi="仿宋"/>
          <w:bCs/>
          <w:color w:val="auto"/>
          <w:lang w:val="en-US" w:eastAsia="zh-CN"/>
        </w:rPr>
        <w:t>服务对象满意度目标：通过问卷调查等手段，获取满意度达到“良好/满意/80分”及以上。</w:t>
      </w:r>
    </w:p>
    <w:p w14:paraId="74181A0E">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六、潜在影响项目的风险评估</w:t>
      </w:r>
    </w:p>
    <w:p w14:paraId="2517C49C">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（一）影响项目施工进度或正常运营的风险及控制措施</w:t>
      </w:r>
    </w:p>
    <w:p w14:paraId="18430F17">
      <w:pPr>
        <w:ind w:firstLine="480"/>
        <w:rPr>
          <w:color w:val="auto"/>
        </w:rPr>
      </w:pPr>
      <w:r>
        <w:rPr>
          <w:rFonts w:hint="eastAsia"/>
          <w:color w:val="auto"/>
        </w:rPr>
        <w:t>对于不可抗力风险、施工方的风险、设计单位的风险、供应商的风险、资金落实风险、工程事故风险等影响施工进度或正常运营的风险，项目相关机构将采取对地块所处自然环境进行充分论证；选取有相应资质、业绩良好、经验丰富的施工单位；对供应商的资质、商业信誉和财务会计制度进行严格审查；做好现场的安全管理工作等措施予以控制。</w:t>
      </w:r>
    </w:p>
    <w:p w14:paraId="008FF9F3">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（二）影响项目收益的风险及控制措施</w:t>
      </w:r>
    </w:p>
    <w:p w14:paraId="2157EDAA">
      <w:pPr>
        <w:ind w:firstLine="480"/>
        <w:rPr>
          <w:color w:val="auto"/>
        </w:rPr>
      </w:pPr>
      <w:r>
        <w:rPr>
          <w:rFonts w:hint="eastAsia"/>
          <w:color w:val="auto"/>
        </w:rPr>
        <w:t>对于经营风险、财务风险等影响项目收益的风险，项目相关机构将全面分析国家项目相关的政策、法律、制度的发展变化；设立项目资金管理专户等措施予以控制。</w:t>
      </w:r>
    </w:p>
    <w:p w14:paraId="6EFC3F66">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（三）影响融资平衡结果的风险及控制措施</w:t>
      </w:r>
    </w:p>
    <w:p w14:paraId="2E347283">
      <w:pPr>
        <w:ind w:firstLine="480"/>
        <w:rPr>
          <w:rFonts w:hint="eastAsia"/>
          <w:color w:val="auto"/>
        </w:rPr>
      </w:pPr>
      <w:r>
        <w:rPr>
          <w:rFonts w:hint="eastAsia"/>
          <w:color w:val="auto"/>
        </w:rPr>
        <w:t>对于投资测算不准确风险、利率波动风险等影响项目收益的风险，项目相关机构将采取根据稳健性原则适当计入一定比例的不可预见费；定期对估算投资进行审核验证、调整；做好现金流监测，充分利用资金、做好还款计划和还款准备等措施予以控制。</w:t>
      </w:r>
    </w:p>
    <w:p w14:paraId="753C5C63">
      <w:pPr>
        <w:pStyle w:val="15"/>
        <w:rPr>
          <w:color w:val="auto"/>
        </w:rPr>
      </w:pPr>
    </w:p>
    <w:p w14:paraId="3A756DAA">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七、还款保障情况</w:t>
      </w:r>
    </w:p>
    <w:p w14:paraId="1C56FDCE">
      <w:pPr>
        <w:ind w:firstLine="480"/>
        <w:rPr>
          <w:rFonts w:hint="eastAsia"/>
          <w:color w:val="auto"/>
          <w:lang w:val="zh-CN"/>
        </w:rPr>
      </w:pPr>
      <w:r>
        <w:rPr>
          <w:rFonts w:hint="eastAsia"/>
          <w:color w:val="auto"/>
          <w:lang w:val="zh-CN"/>
        </w:rPr>
        <w:t>按照《国务院办公厅关于印发地方政府性债务风险应急处置预案的通知》（国办函〔</w:t>
      </w:r>
      <w:r>
        <w:rPr>
          <w:color w:val="auto"/>
          <w:lang w:val="zh-CN"/>
        </w:rPr>
        <w:t>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w:t>
      </w:r>
      <w:r>
        <w:rPr>
          <w:rFonts w:hint="eastAsia"/>
          <w:color w:val="auto"/>
          <w:lang w:val="zh-CN"/>
        </w:rPr>
        <w:t>扣回。</w:t>
      </w:r>
    </w:p>
    <w:p w14:paraId="569308A0">
      <w:pPr>
        <w:pStyle w:val="15"/>
        <w:rPr>
          <w:color w:val="auto"/>
          <w:lang w:val="zh-CN"/>
        </w:rPr>
      </w:pPr>
    </w:p>
    <w:p w14:paraId="6F7FE9D6">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八、主管部门职责和项目单位职责</w:t>
      </w:r>
    </w:p>
    <w:p w14:paraId="17DFE55E">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（一）主管部门职责</w:t>
      </w:r>
    </w:p>
    <w:p w14:paraId="64C054C3">
      <w:pPr>
        <w:ind w:firstLine="480"/>
        <w:rPr>
          <w:color w:val="auto"/>
        </w:rPr>
      </w:pPr>
      <w:r>
        <w:rPr>
          <w:rFonts w:hint="eastAsia"/>
          <w:color w:val="auto"/>
        </w:rPr>
        <w:t>本项目的主管部门是</w:t>
      </w:r>
      <w:r>
        <w:rPr>
          <w:rFonts w:hint="eastAsia"/>
          <w:color w:val="auto"/>
          <w:lang w:val="en-US" w:eastAsia="zh-CN" w:bidi="ar"/>
        </w:rPr>
        <w:t>冕宁县商务经济合作和外事局</w:t>
      </w:r>
      <w:r>
        <w:rPr>
          <w:rFonts w:hint="eastAsia"/>
          <w:color w:val="auto"/>
        </w:rPr>
        <w:t>，其职责为：</w:t>
      </w:r>
    </w:p>
    <w:p w14:paraId="772DE70D">
      <w:pPr>
        <w:ind w:firstLine="480"/>
        <w:rPr>
          <w:color w:val="auto"/>
        </w:rPr>
      </w:pPr>
      <w:r>
        <w:rPr>
          <w:rFonts w:hint="eastAsia"/>
          <w:color w:val="auto"/>
        </w:rPr>
        <w:t>1</w:t>
      </w:r>
      <w:r>
        <w:rPr>
          <w:color w:val="auto"/>
        </w:rPr>
        <w:t>.</w:t>
      </w:r>
      <w:r>
        <w:rPr>
          <w:rFonts w:hint="eastAsia"/>
          <w:color w:val="auto"/>
        </w:rPr>
        <w:t>认真履行项目建设、运营和维护责任，确保项目如期建设、如期投入运营，早日实现持续稳定的收益。</w:t>
      </w:r>
    </w:p>
    <w:p w14:paraId="2CA6CA44">
      <w:pPr>
        <w:ind w:firstLine="480"/>
        <w:rPr>
          <w:color w:val="auto"/>
        </w:rPr>
      </w:pPr>
      <w:r>
        <w:rPr>
          <w:rFonts w:hint="eastAsia"/>
          <w:color w:val="auto"/>
        </w:rPr>
        <w:t>2</w:t>
      </w:r>
      <w:r>
        <w:rPr>
          <w:color w:val="auto"/>
        </w:rPr>
        <w:t>.</w:t>
      </w:r>
      <w:r>
        <w:rPr>
          <w:rFonts w:hint="eastAsia"/>
          <w:color w:val="auto"/>
        </w:rPr>
        <w:t>监督指导建设运营主体规范使用本专项债券资金，对发现的违法违规资金使用进行严肃处理和责任追究。</w:t>
      </w:r>
    </w:p>
    <w:p w14:paraId="2E0CB728">
      <w:pPr>
        <w:ind w:firstLine="480"/>
        <w:rPr>
          <w:color w:val="auto"/>
        </w:rPr>
      </w:pPr>
      <w:r>
        <w:rPr>
          <w:rFonts w:hint="eastAsia"/>
          <w:color w:val="auto"/>
        </w:rPr>
        <w:t>3</w:t>
      </w:r>
      <w:r>
        <w:rPr>
          <w:color w:val="auto"/>
        </w:rPr>
        <w:t>.</w:t>
      </w:r>
      <w:r>
        <w:rPr>
          <w:rFonts w:hint="eastAsia"/>
          <w:color w:val="auto"/>
        </w:rPr>
        <w:t>配合做好债券对应项目形成资产的登记管理工作，做好日常统计和动态监控；确保项目资产独立性和确认资产权益归属，严禁专项债券对应资产和权益用于为融资平台公司等企业融资提供担保和抵押，不对专项债券对应项目资产进行转移和划拨注入企业。</w:t>
      </w:r>
    </w:p>
    <w:p w14:paraId="51B716EC">
      <w:pPr>
        <w:ind w:firstLine="480"/>
        <w:rPr>
          <w:color w:val="auto"/>
        </w:rPr>
      </w:pPr>
      <w:r>
        <w:rPr>
          <w:rFonts w:hint="eastAsia"/>
          <w:color w:val="auto"/>
        </w:rPr>
        <w:t>4</w:t>
      </w:r>
      <w:r>
        <w:rPr>
          <w:color w:val="auto"/>
        </w:rPr>
        <w:t>.</w:t>
      </w:r>
      <w:r>
        <w:rPr>
          <w:rFonts w:hint="eastAsia"/>
          <w:color w:val="auto"/>
        </w:rPr>
        <w:t>在门户网站等及时披露专项债券对应的项目概况、项目预期收益和融资平衡方案、专项债券规模和期限、发行计划安排、还本付息等信息。</w:t>
      </w:r>
    </w:p>
    <w:p w14:paraId="5745BA93">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（二）项目单位职责</w:t>
      </w:r>
    </w:p>
    <w:p w14:paraId="1682E4BE">
      <w:pPr>
        <w:ind w:firstLine="480"/>
        <w:rPr>
          <w:color w:val="auto"/>
        </w:rPr>
      </w:pPr>
      <w:r>
        <w:rPr>
          <w:rFonts w:hint="eastAsia"/>
          <w:color w:val="auto"/>
        </w:rPr>
        <w:t>本项目的业主单位是</w:t>
      </w:r>
      <w:r>
        <w:rPr>
          <w:rFonts w:hint="eastAsia"/>
          <w:color w:val="auto"/>
          <w:lang w:val="en-US" w:eastAsia="zh-CN" w:bidi="ar"/>
        </w:rPr>
        <w:t>冕宁县凌山启恒物流有限公司</w:t>
      </w:r>
      <w:r>
        <w:rPr>
          <w:rFonts w:hint="eastAsia"/>
          <w:color w:val="auto"/>
        </w:rPr>
        <w:t>，其职责为：</w:t>
      </w:r>
    </w:p>
    <w:p w14:paraId="3DFBC010">
      <w:pPr>
        <w:ind w:firstLine="480"/>
        <w:rPr>
          <w:color w:val="auto"/>
        </w:rPr>
      </w:pPr>
      <w:r>
        <w:rPr>
          <w:color w:val="auto"/>
        </w:rPr>
        <w:t>1.提出专项债券项目需求申请，编制报送项目实施方案及相关资料，配合做好债券发行准备。</w:t>
      </w:r>
    </w:p>
    <w:p w14:paraId="08DE1749">
      <w:pPr>
        <w:ind w:firstLine="480"/>
        <w:rPr>
          <w:color w:val="auto"/>
        </w:rPr>
      </w:pPr>
      <w:r>
        <w:rPr>
          <w:color w:val="auto"/>
        </w:rPr>
        <w:t>2.规范使用债券资金，及时形成支出，提高资金使用效益。</w:t>
      </w:r>
    </w:p>
    <w:p w14:paraId="3F90B886">
      <w:pPr>
        <w:ind w:firstLine="480"/>
        <w:rPr>
          <w:color w:val="auto"/>
        </w:rPr>
      </w:pPr>
      <w:r>
        <w:rPr>
          <w:color w:val="auto"/>
        </w:rPr>
        <w:t>3.定期评估项目成本、预期收益和对应资产价值等，发现风险或异常情况及时向主管部门报告。</w:t>
      </w:r>
    </w:p>
    <w:p w14:paraId="42486AC4">
      <w:pPr>
        <w:ind w:firstLine="480"/>
        <w:rPr>
          <w:color w:val="auto"/>
        </w:rPr>
      </w:pPr>
      <w:r>
        <w:rPr>
          <w:color w:val="auto"/>
        </w:rPr>
        <w:t>4.向上级部门总结汇报项目实施情况，贯彻落实上级指示要求；研究解决项目实施中的其他重大问题。</w:t>
      </w:r>
    </w:p>
    <w:p w14:paraId="7BF5B020">
      <w:pPr>
        <w:pStyle w:val="15"/>
        <w:rPr>
          <w:color w:val="auto"/>
        </w:rPr>
      </w:pPr>
    </w:p>
    <w:p w14:paraId="36D4B1FD">
      <w:pPr>
        <w:spacing w:line="560" w:lineRule="exact"/>
        <w:ind w:firstLine="640"/>
        <w:rPr>
          <w:rFonts w:ascii="黑体" w:hAnsi="黑体" w:eastAsia="黑体"/>
          <w:color w:val="auto"/>
          <w:sz w:val="32"/>
          <w:szCs w:val="32"/>
        </w:rPr>
      </w:pPr>
      <w:r>
        <w:rPr>
          <w:rFonts w:hint="eastAsia" w:ascii="黑体" w:hAnsi="黑体" w:eastAsia="黑体"/>
          <w:color w:val="auto"/>
          <w:sz w:val="32"/>
          <w:szCs w:val="32"/>
        </w:rPr>
        <w:t>九、补充说明</w:t>
      </w:r>
    </w:p>
    <w:bookmarkEnd w:id="2"/>
    <w:p w14:paraId="5BE8F542">
      <w:pPr>
        <w:ind w:firstLine="480"/>
        <w:rPr>
          <w:color w:val="auto"/>
        </w:rPr>
      </w:pPr>
      <w:r>
        <w:rPr>
          <w:rFonts w:hint="eastAsia"/>
          <w:color w:val="auto"/>
        </w:rPr>
        <w:t>根据发行计划及额度安排</w:t>
      </w:r>
      <w:r>
        <w:rPr>
          <w:color w:val="auto"/>
        </w:rPr>
        <w:t>,此项目202</w:t>
      </w:r>
      <w:r>
        <w:rPr>
          <w:rFonts w:hint="eastAsia"/>
          <w:color w:val="auto"/>
          <w:lang w:val="en-US" w:eastAsia="zh-CN"/>
        </w:rPr>
        <w:t>5</w:t>
      </w:r>
      <w:r>
        <w:rPr>
          <w:color w:val="auto"/>
        </w:rPr>
        <w:t>年拟申请发行</w:t>
      </w:r>
      <w:r>
        <w:rPr>
          <w:rFonts w:hint="eastAsia"/>
          <w:color w:val="auto"/>
        </w:rPr>
        <w:t>640</w:t>
      </w:r>
      <w:bookmarkStart w:id="3" w:name="_GoBack"/>
      <w:bookmarkEnd w:id="3"/>
      <w:r>
        <w:rPr>
          <w:rFonts w:hint="eastAsia"/>
          <w:color w:val="auto"/>
        </w:rPr>
        <w:t>0</w:t>
      </w:r>
      <w:r>
        <w:rPr>
          <w:rFonts w:hint="eastAsia"/>
          <w:color w:val="auto"/>
          <w:lang w:val="en-US" w:eastAsia="zh-CN"/>
        </w:rPr>
        <w:t>.00</w:t>
      </w:r>
      <w:r>
        <w:rPr>
          <w:color w:val="auto"/>
        </w:rPr>
        <w:t>万元，本次拟发行</w:t>
      </w:r>
      <w:r>
        <w:rPr>
          <w:rFonts w:hint="eastAsia"/>
          <w:color w:val="auto"/>
          <w:lang w:val="en-US" w:eastAsia="zh-CN"/>
        </w:rPr>
        <w:t>26</w:t>
      </w:r>
      <w:r>
        <w:rPr>
          <w:rFonts w:hint="eastAsia"/>
          <w:color w:val="auto"/>
        </w:rPr>
        <w:t>00</w:t>
      </w:r>
      <w:r>
        <w:rPr>
          <w:rFonts w:hint="eastAsia"/>
          <w:color w:val="auto"/>
          <w:lang w:val="en-US" w:eastAsia="zh-CN"/>
        </w:rPr>
        <w:t>.00</w:t>
      </w:r>
      <w:r>
        <w:rPr>
          <w:color w:val="auto"/>
        </w:rPr>
        <w:t>万元，期限</w:t>
      </w:r>
      <w:r>
        <w:rPr>
          <w:rFonts w:hint="eastAsia"/>
          <w:color w:val="auto"/>
          <w:lang w:val="en-US" w:eastAsia="zh-CN"/>
        </w:rPr>
        <w:t>30</w:t>
      </w:r>
      <w:r>
        <w:rPr>
          <w:color w:val="auto"/>
        </w:rPr>
        <w:t>年。</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84F91F-D323-415A-9337-58B313DCA5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4D51CF7-3949-4483-B3B4-47543892998B}"/>
  </w:font>
  <w:font w:name="仿宋">
    <w:panose1 w:val="02010609060101010101"/>
    <w:charset w:val="86"/>
    <w:family w:val="modern"/>
    <w:pitch w:val="default"/>
    <w:sig w:usb0="800002BF" w:usb1="38CF7CFA" w:usb2="00000016" w:usb3="00000000" w:csb0="00040001" w:csb1="00000000"/>
    <w:embedRegular r:id="rId3" w:fontKey="{6947A97D-98E6-491C-BB0E-3CEAA31D173A}"/>
  </w:font>
  <w:font w:name="楷体_GB2312">
    <w:altName w:val="楷体"/>
    <w:panose1 w:val="00000000000000000000"/>
    <w:charset w:val="86"/>
    <w:family w:val="modern"/>
    <w:pitch w:val="default"/>
    <w:sig w:usb0="00000000" w:usb1="00000000" w:usb2="00000010" w:usb3="00000000" w:csb0="00040000" w:csb1="00000000"/>
    <w:embedRegular r:id="rId4" w:fontKey="{478A2D0F-0A02-470F-93B9-27BDD44FE82F}"/>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embedRegular r:id="rId5" w:fontKey="{440B4E6A-DBD1-4269-804B-F6065865F534}"/>
  </w:font>
  <w:font w:name="Cambria">
    <w:panose1 w:val="02040503050406030204"/>
    <w:charset w:val="00"/>
    <w:family w:val="roman"/>
    <w:pitch w:val="default"/>
    <w:sig w:usb0="E00006FF" w:usb1="420024FF" w:usb2="02000000" w:usb3="00000000" w:csb0="2000019F" w:csb1="00000000"/>
  </w:font>
  <w:font w:name="方正小标宋简体">
    <w:altName w:val="仿宋_GB2312"/>
    <w:panose1 w:val="03000509000000000000"/>
    <w:charset w:val="86"/>
    <w:family w:val="auto"/>
    <w:pitch w:val="default"/>
    <w:sig w:usb0="00000000" w:usb1="0000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WPSEMBED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3AAF6">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5745D">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FCC1A">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408B2">
    <w:pPr>
      <w:pStyle w:val="10"/>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855C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02591">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5YTE5NGUwZTgzMmJhMGQxMmEzN2JjZjE5MzUzM2QifQ=="/>
  </w:docVars>
  <w:rsids>
    <w:rsidRoot w:val="00511187"/>
    <w:rsid w:val="00043975"/>
    <w:rsid w:val="000A65E8"/>
    <w:rsid w:val="000B29E5"/>
    <w:rsid w:val="000C0B8B"/>
    <w:rsid w:val="00120219"/>
    <w:rsid w:val="001206A9"/>
    <w:rsid w:val="00123FE8"/>
    <w:rsid w:val="001C7F88"/>
    <w:rsid w:val="002012C5"/>
    <w:rsid w:val="002729D2"/>
    <w:rsid w:val="00274E56"/>
    <w:rsid w:val="002A6411"/>
    <w:rsid w:val="002E3649"/>
    <w:rsid w:val="00312739"/>
    <w:rsid w:val="0031331F"/>
    <w:rsid w:val="00331FD0"/>
    <w:rsid w:val="00374629"/>
    <w:rsid w:val="00374D6A"/>
    <w:rsid w:val="003C421E"/>
    <w:rsid w:val="003C7CC3"/>
    <w:rsid w:val="003D7D79"/>
    <w:rsid w:val="00401F8C"/>
    <w:rsid w:val="004257C2"/>
    <w:rsid w:val="0049076A"/>
    <w:rsid w:val="004B190A"/>
    <w:rsid w:val="004B5CEC"/>
    <w:rsid w:val="004D1630"/>
    <w:rsid w:val="004D2345"/>
    <w:rsid w:val="00511187"/>
    <w:rsid w:val="0052526C"/>
    <w:rsid w:val="00567C25"/>
    <w:rsid w:val="00570174"/>
    <w:rsid w:val="005C58CA"/>
    <w:rsid w:val="005D2888"/>
    <w:rsid w:val="005E10DC"/>
    <w:rsid w:val="005F3057"/>
    <w:rsid w:val="00614B0B"/>
    <w:rsid w:val="00615028"/>
    <w:rsid w:val="00622204"/>
    <w:rsid w:val="006E6AA2"/>
    <w:rsid w:val="00723816"/>
    <w:rsid w:val="007676AB"/>
    <w:rsid w:val="007B6674"/>
    <w:rsid w:val="0081477F"/>
    <w:rsid w:val="00826303"/>
    <w:rsid w:val="008820AF"/>
    <w:rsid w:val="008C36B2"/>
    <w:rsid w:val="008F0FA3"/>
    <w:rsid w:val="00916B43"/>
    <w:rsid w:val="0093189A"/>
    <w:rsid w:val="00995942"/>
    <w:rsid w:val="009A6AEE"/>
    <w:rsid w:val="009B1077"/>
    <w:rsid w:val="009B3F55"/>
    <w:rsid w:val="00A804BE"/>
    <w:rsid w:val="00AB4F6E"/>
    <w:rsid w:val="00AB5163"/>
    <w:rsid w:val="00AF5F9F"/>
    <w:rsid w:val="00AF6C07"/>
    <w:rsid w:val="00B543D8"/>
    <w:rsid w:val="00B70CCC"/>
    <w:rsid w:val="00B86133"/>
    <w:rsid w:val="00BA785D"/>
    <w:rsid w:val="00BB73A5"/>
    <w:rsid w:val="00BC43D9"/>
    <w:rsid w:val="00BE1F42"/>
    <w:rsid w:val="00BE2F03"/>
    <w:rsid w:val="00C573EA"/>
    <w:rsid w:val="00C87C46"/>
    <w:rsid w:val="00CB2856"/>
    <w:rsid w:val="00CB70FF"/>
    <w:rsid w:val="00D15A74"/>
    <w:rsid w:val="00D21F92"/>
    <w:rsid w:val="00D67EAF"/>
    <w:rsid w:val="00DF0C98"/>
    <w:rsid w:val="00E03246"/>
    <w:rsid w:val="00E32881"/>
    <w:rsid w:val="00E52722"/>
    <w:rsid w:val="00E53CF2"/>
    <w:rsid w:val="00EA0719"/>
    <w:rsid w:val="00EA1B05"/>
    <w:rsid w:val="00EA3402"/>
    <w:rsid w:val="00EF6843"/>
    <w:rsid w:val="00EF7DF3"/>
    <w:rsid w:val="00F17B2C"/>
    <w:rsid w:val="00F614DA"/>
    <w:rsid w:val="00F62E2E"/>
    <w:rsid w:val="00F67CF9"/>
    <w:rsid w:val="00F85E3A"/>
    <w:rsid w:val="00F91DA4"/>
    <w:rsid w:val="00F949F3"/>
    <w:rsid w:val="00FB6832"/>
    <w:rsid w:val="00FC6E4C"/>
    <w:rsid w:val="00FD2A48"/>
    <w:rsid w:val="00FD5D0D"/>
    <w:rsid w:val="00FE67E4"/>
    <w:rsid w:val="027B3453"/>
    <w:rsid w:val="0A5C66EF"/>
    <w:rsid w:val="0D083F2D"/>
    <w:rsid w:val="103565DA"/>
    <w:rsid w:val="14642729"/>
    <w:rsid w:val="17625D82"/>
    <w:rsid w:val="207612CA"/>
    <w:rsid w:val="20C932CD"/>
    <w:rsid w:val="2FFD58B8"/>
    <w:rsid w:val="3A1B1FA5"/>
    <w:rsid w:val="3A2610F8"/>
    <w:rsid w:val="3E7E3A38"/>
    <w:rsid w:val="3FFD8044"/>
    <w:rsid w:val="532F7F75"/>
    <w:rsid w:val="5C074916"/>
    <w:rsid w:val="5D832C64"/>
    <w:rsid w:val="600F439D"/>
    <w:rsid w:val="63E65214"/>
    <w:rsid w:val="68237C7D"/>
    <w:rsid w:val="6C1B518B"/>
    <w:rsid w:val="6CC764CB"/>
    <w:rsid w:val="6D3722F0"/>
    <w:rsid w:val="6FDD47AA"/>
    <w:rsid w:val="738F3CB5"/>
    <w:rsid w:val="749C4D79"/>
    <w:rsid w:val="79FF8168"/>
    <w:rsid w:val="7A4335D3"/>
    <w:rsid w:val="7BD8540F"/>
    <w:rsid w:val="FEFB1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仿宋" w:hAnsi="仿宋" w:eastAsia="仿宋" w:cs="Times New Roman"/>
      <w:color w:val="000000"/>
      <w:kern w:val="2"/>
      <w:sz w:val="24"/>
      <w:szCs w:val="24"/>
      <w:lang w:val="en-US" w:eastAsia="zh-CN" w:bidi="ar-SA"/>
    </w:rPr>
  </w:style>
  <w:style w:type="paragraph" w:styleId="2">
    <w:name w:val="heading 1"/>
    <w:basedOn w:val="1"/>
    <w:next w:val="1"/>
    <w:link w:val="28"/>
    <w:qFormat/>
    <w:uiPriority w:val="9"/>
    <w:pPr>
      <w:spacing w:before="50" w:beforeLines="50" w:after="50" w:afterLines="50"/>
      <w:ind w:left="200" w:leftChars="200" w:firstLine="0" w:firstLineChars="0"/>
      <w:outlineLvl w:val="0"/>
    </w:pPr>
    <w:rPr>
      <w:rFonts w:ascii="黑体" w:eastAsia="黑体"/>
      <w:sz w:val="32"/>
    </w:rPr>
  </w:style>
  <w:style w:type="paragraph" w:styleId="3">
    <w:name w:val="heading 2"/>
    <w:basedOn w:val="1"/>
    <w:next w:val="1"/>
    <w:link w:val="29"/>
    <w:unhideWhenUsed/>
    <w:qFormat/>
    <w:uiPriority w:val="9"/>
    <w:pPr>
      <w:spacing w:before="50" w:beforeLines="50" w:after="50" w:afterLines="50"/>
      <w:ind w:left="200" w:leftChars="200" w:firstLine="0" w:firstLineChars="0"/>
      <w:outlineLvl w:val="1"/>
    </w:pPr>
    <w:rPr>
      <w:rFonts w:ascii="楷体_GB2312" w:eastAsia="楷体"/>
      <w:b/>
      <w:sz w:val="32"/>
    </w:rPr>
  </w:style>
  <w:style w:type="paragraph" w:styleId="4">
    <w:name w:val="heading 3"/>
    <w:basedOn w:val="1"/>
    <w:next w:val="1"/>
    <w:link w:val="30"/>
    <w:unhideWhenUsed/>
    <w:qFormat/>
    <w:uiPriority w:val="9"/>
    <w:pPr>
      <w:spacing w:before="50" w:beforeLines="50" w:after="50" w:afterLines="50"/>
      <w:ind w:left="200" w:leftChars="200" w:firstLine="0" w:firstLineChars="0"/>
      <w:outlineLvl w:val="2"/>
    </w:pPr>
    <w:rPr>
      <w:b/>
      <w:sz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unhideWhenUsed/>
    <w:qFormat/>
    <w:uiPriority w:val="99"/>
    <w:pPr>
      <w:jc w:val="left"/>
    </w:pPr>
  </w:style>
  <w:style w:type="paragraph" w:styleId="6">
    <w:name w:val="Body Text"/>
    <w:basedOn w:val="1"/>
    <w:next w:val="7"/>
    <w:link w:val="21"/>
    <w:qFormat/>
    <w:uiPriority w:val="99"/>
    <w:pPr>
      <w:adjustRightInd w:val="0"/>
      <w:snapToGrid w:val="0"/>
      <w:spacing w:before="150" w:after="150" w:line="264" w:lineRule="auto"/>
      <w:ind w:firstLine="567"/>
    </w:pPr>
    <w:rPr>
      <w:rFonts w:ascii="华文楷体" w:hAnsi="华文楷体" w:eastAsia="LF_Kai"/>
      <w:kern w:val="0"/>
      <w:szCs w:val="20"/>
      <w:lang w:val="en-GB"/>
    </w:rPr>
  </w:style>
  <w:style w:type="paragraph" w:styleId="7">
    <w:name w:val="toc 1"/>
    <w:basedOn w:val="1"/>
    <w:next w:val="1"/>
    <w:qFormat/>
    <w:uiPriority w:val="39"/>
    <w:pPr>
      <w:tabs>
        <w:tab w:val="left" w:pos="540"/>
        <w:tab w:val="right" w:leader="dot" w:pos="8296"/>
      </w:tabs>
      <w:adjustRightInd w:val="0"/>
      <w:snapToGrid w:val="0"/>
      <w:spacing w:before="120" w:after="120"/>
    </w:pPr>
    <w:rPr>
      <w:rFonts w:ascii="Calibri" w:hAnsi="Calibri" w:eastAsia="仿宋_GB2312" w:cs="Calibri"/>
      <w:b/>
      <w:bCs/>
      <w:caps/>
      <w:sz w:val="28"/>
      <w:szCs w:val="28"/>
    </w:rPr>
  </w:style>
  <w:style w:type="paragraph" w:styleId="8">
    <w:name w:val="Balloon Text"/>
    <w:basedOn w:val="1"/>
    <w:link w:val="24"/>
    <w:semiHidden/>
    <w:unhideWhenUsed/>
    <w:qFormat/>
    <w:uiPriority w:val="99"/>
    <w:rPr>
      <w:sz w:val="18"/>
      <w:szCs w:val="18"/>
    </w:rPr>
  </w:style>
  <w:style w:type="paragraph" w:styleId="9">
    <w:name w:val="footer"/>
    <w:basedOn w:val="1"/>
    <w:link w:val="26"/>
    <w:unhideWhenUsed/>
    <w:qFormat/>
    <w:uiPriority w:val="99"/>
    <w:pPr>
      <w:tabs>
        <w:tab w:val="center" w:pos="4153"/>
        <w:tab w:val="right" w:pos="8306"/>
      </w:tabs>
      <w:snapToGrid w:val="0"/>
      <w:jc w:val="left"/>
    </w:pPr>
    <w:rPr>
      <w:sz w:val="18"/>
      <w:szCs w:val="18"/>
    </w:rPr>
  </w:style>
  <w:style w:type="paragraph" w:styleId="10">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Subtitle"/>
    <w:basedOn w:val="1"/>
    <w:next w:val="1"/>
    <w:qFormat/>
    <w:uiPriority w:val="99"/>
    <w:pPr>
      <w:spacing w:before="240" w:after="60" w:line="312" w:lineRule="auto"/>
      <w:jc w:val="center"/>
    </w:pPr>
    <w:rPr>
      <w:rFonts w:ascii="Cambria" w:hAnsi="Cambria" w:eastAsia="黑体"/>
      <w:b/>
      <w:bCs/>
      <w:kern w:val="28"/>
      <w:szCs w:val="32"/>
    </w:rPr>
  </w:style>
  <w:style w:type="paragraph" w:styleId="1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3">
    <w:name w:val="Title"/>
    <w:basedOn w:val="11"/>
    <w:link w:val="27"/>
    <w:qFormat/>
    <w:uiPriority w:val="10"/>
    <w:pPr>
      <w:spacing w:before="156" w:beforeLines="50" w:after="312" w:afterLines="100"/>
      <w:ind w:firstLine="0" w:firstLineChars="0"/>
      <w:jc w:val="center"/>
    </w:pPr>
    <w:rPr>
      <w:rFonts w:ascii="方正小标宋简体" w:hAnsi="Calibri" w:eastAsia="方正小标宋简体"/>
      <w:sz w:val="40"/>
      <w:szCs w:val="40"/>
    </w:rPr>
  </w:style>
  <w:style w:type="paragraph" w:styleId="14">
    <w:name w:val="annotation subject"/>
    <w:basedOn w:val="5"/>
    <w:next w:val="5"/>
    <w:link w:val="23"/>
    <w:semiHidden/>
    <w:unhideWhenUsed/>
    <w:qFormat/>
    <w:uiPriority w:val="99"/>
    <w:rPr>
      <w:b/>
      <w:bCs/>
    </w:rPr>
  </w:style>
  <w:style w:type="paragraph" w:styleId="15">
    <w:name w:val="Body Text First Indent"/>
    <w:basedOn w:val="6"/>
    <w:next w:val="1"/>
    <w:unhideWhenUsed/>
    <w:qFormat/>
    <w:uiPriority w:val="99"/>
    <w:pPr>
      <w:spacing w:before="0" w:after="120" w:line="240" w:lineRule="auto"/>
      <w:ind w:firstLine="420" w:firstLineChars="100"/>
    </w:pPr>
    <w:rPr>
      <w:rFonts w:ascii="Times New Roman" w:hAnsi="Times New Roman" w:eastAsia="宋体"/>
      <w:sz w:val="21"/>
      <w:szCs w:val="24"/>
      <w:lang w:val="en-US"/>
    </w:rPr>
  </w:style>
  <w:style w:type="character" w:styleId="18">
    <w:name w:val="annotation reference"/>
    <w:basedOn w:val="17"/>
    <w:semiHidden/>
    <w:unhideWhenUsed/>
    <w:qFormat/>
    <w:uiPriority w:val="99"/>
    <w:rPr>
      <w:sz w:val="21"/>
      <w:szCs w:val="21"/>
    </w:rPr>
  </w:style>
  <w:style w:type="character" w:customStyle="1" w:styleId="19">
    <w:name w:val="Body text|2_"/>
    <w:link w:val="20"/>
    <w:qFormat/>
    <w:uiPriority w:val="0"/>
    <w:rPr>
      <w:rFonts w:ascii="PMingLiU" w:hAnsi="PMingLiU" w:eastAsia="PMingLiU" w:cs="PMingLiU"/>
      <w:sz w:val="22"/>
      <w:shd w:val="clear" w:color="auto" w:fill="FFFFFF"/>
    </w:rPr>
  </w:style>
  <w:style w:type="paragraph" w:customStyle="1" w:styleId="20">
    <w:name w:val="Body text|2"/>
    <w:basedOn w:val="1"/>
    <w:link w:val="19"/>
    <w:qFormat/>
    <w:uiPriority w:val="0"/>
    <w:pPr>
      <w:shd w:val="clear" w:color="auto" w:fill="FFFFFF"/>
      <w:spacing w:after="100" w:line="220" w:lineRule="exact"/>
      <w:jc w:val="left"/>
    </w:pPr>
    <w:rPr>
      <w:rFonts w:ascii="PMingLiU" w:hAnsi="PMingLiU" w:eastAsia="PMingLiU" w:cs="PMingLiU"/>
      <w:sz w:val="22"/>
    </w:rPr>
  </w:style>
  <w:style w:type="character" w:customStyle="1" w:styleId="21">
    <w:name w:val="正文文本 字符"/>
    <w:basedOn w:val="17"/>
    <w:link w:val="6"/>
    <w:qFormat/>
    <w:uiPriority w:val="99"/>
    <w:rPr>
      <w:rFonts w:ascii="华文楷体" w:hAnsi="华文楷体" w:eastAsia="LF_Kai" w:cs="Times New Roman"/>
      <w:kern w:val="0"/>
      <w:sz w:val="24"/>
      <w:szCs w:val="20"/>
      <w:lang w:val="en-GB"/>
    </w:rPr>
  </w:style>
  <w:style w:type="character" w:customStyle="1" w:styleId="22">
    <w:name w:val="批注文字 字符"/>
    <w:basedOn w:val="17"/>
    <w:link w:val="5"/>
    <w:qFormat/>
    <w:uiPriority w:val="99"/>
  </w:style>
  <w:style w:type="character" w:customStyle="1" w:styleId="23">
    <w:name w:val="批注主题 字符"/>
    <w:basedOn w:val="22"/>
    <w:link w:val="14"/>
    <w:semiHidden/>
    <w:qFormat/>
    <w:uiPriority w:val="99"/>
    <w:rPr>
      <w:b/>
      <w:bCs/>
    </w:rPr>
  </w:style>
  <w:style w:type="character" w:customStyle="1" w:styleId="24">
    <w:name w:val="批注框文本 字符"/>
    <w:basedOn w:val="17"/>
    <w:link w:val="8"/>
    <w:semiHidden/>
    <w:qFormat/>
    <w:uiPriority w:val="99"/>
    <w:rPr>
      <w:sz w:val="18"/>
      <w:szCs w:val="18"/>
    </w:rPr>
  </w:style>
  <w:style w:type="character" w:customStyle="1" w:styleId="25">
    <w:name w:val="页眉 字符"/>
    <w:basedOn w:val="17"/>
    <w:link w:val="10"/>
    <w:qFormat/>
    <w:uiPriority w:val="99"/>
    <w:rPr>
      <w:sz w:val="18"/>
      <w:szCs w:val="18"/>
    </w:rPr>
  </w:style>
  <w:style w:type="character" w:customStyle="1" w:styleId="26">
    <w:name w:val="页脚 字符"/>
    <w:basedOn w:val="17"/>
    <w:link w:val="9"/>
    <w:qFormat/>
    <w:uiPriority w:val="99"/>
    <w:rPr>
      <w:sz w:val="18"/>
      <w:szCs w:val="18"/>
    </w:rPr>
  </w:style>
  <w:style w:type="character" w:customStyle="1" w:styleId="27">
    <w:name w:val="标题 字符"/>
    <w:basedOn w:val="17"/>
    <w:link w:val="13"/>
    <w:qFormat/>
    <w:uiPriority w:val="10"/>
    <w:rPr>
      <w:rFonts w:ascii="方正小标宋简体" w:eastAsia="方正小标宋简体"/>
      <w:color w:val="000000"/>
      <w:kern w:val="2"/>
      <w:sz w:val="40"/>
      <w:szCs w:val="40"/>
    </w:rPr>
  </w:style>
  <w:style w:type="character" w:customStyle="1" w:styleId="28">
    <w:name w:val="标题 1 字符"/>
    <w:basedOn w:val="17"/>
    <w:link w:val="2"/>
    <w:qFormat/>
    <w:uiPriority w:val="9"/>
    <w:rPr>
      <w:rFonts w:ascii="黑体" w:hAnsi="仿宋" w:eastAsia="黑体"/>
      <w:color w:val="000000"/>
      <w:kern w:val="2"/>
      <w:sz w:val="32"/>
      <w:szCs w:val="24"/>
    </w:rPr>
  </w:style>
  <w:style w:type="character" w:customStyle="1" w:styleId="29">
    <w:name w:val="标题 2 字符"/>
    <w:basedOn w:val="17"/>
    <w:link w:val="3"/>
    <w:qFormat/>
    <w:uiPriority w:val="9"/>
    <w:rPr>
      <w:rFonts w:ascii="楷体_GB2312" w:hAnsi="仿宋" w:eastAsia="楷体"/>
      <w:b/>
      <w:color w:val="000000"/>
      <w:kern w:val="2"/>
      <w:sz w:val="32"/>
      <w:szCs w:val="24"/>
    </w:rPr>
  </w:style>
  <w:style w:type="character" w:customStyle="1" w:styleId="30">
    <w:name w:val="标题 3 字符"/>
    <w:basedOn w:val="17"/>
    <w:link w:val="4"/>
    <w:qFormat/>
    <w:uiPriority w:val="9"/>
    <w:rPr>
      <w:rFonts w:ascii="仿宋" w:hAnsi="仿宋" w:eastAsia="仿宋"/>
      <w:b/>
      <w:color w:val="000000"/>
      <w:kern w:val="2"/>
      <w:sz w:val="32"/>
      <w:szCs w:val="24"/>
    </w:rPr>
  </w:style>
  <w:style w:type="paragraph" w:customStyle="1" w:styleId="31">
    <w:name w:val="表格标题"/>
    <w:basedOn w:val="1"/>
    <w:link w:val="33"/>
    <w:qFormat/>
    <w:uiPriority w:val="0"/>
    <w:pPr>
      <w:ind w:firstLine="0" w:firstLineChars="0"/>
      <w:jc w:val="center"/>
    </w:pPr>
    <w:rPr>
      <w:b/>
      <w:sz w:val="21"/>
    </w:rPr>
  </w:style>
  <w:style w:type="paragraph" w:customStyle="1" w:styleId="32">
    <w:name w:val="表格内容"/>
    <w:basedOn w:val="1"/>
    <w:link w:val="35"/>
    <w:qFormat/>
    <w:uiPriority w:val="0"/>
    <w:pPr>
      <w:spacing w:line="240" w:lineRule="auto"/>
      <w:ind w:firstLine="0" w:firstLineChars="0"/>
      <w:jc w:val="center"/>
    </w:pPr>
    <w:rPr>
      <w:sz w:val="21"/>
      <w:szCs w:val="21"/>
    </w:rPr>
  </w:style>
  <w:style w:type="character" w:customStyle="1" w:styleId="33">
    <w:name w:val="表格标题 字符"/>
    <w:basedOn w:val="17"/>
    <w:link w:val="31"/>
    <w:qFormat/>
    <w:uiPriority w:val="0"/>
    <w:rPr>
      <w:rFonts w:ascii="仿宋" w:hAnsi="仿宋" w:eastAsia="仿宋"/>
      <w:b/>
      <w:color w:val="000000"/>
      <w:kern w:val="2"/>
      <w:sz w:val="21"/>
      <w:szCs w:val="24"/>
    </w:rPr>
  </w:style>
  <w:style w:type="paragraph" w:customStyle="1" w:styleId="34">
    <w:name w:val="表格内容2"/>
    <w:basedOn w:val="32"/>
    <w:link w:val="36"/>
    <w:qFormat/>
    <w:uiPriority w:val="0"/>
    <w:rPr>
      <w:sz w:val="16"/>
      <w:szCs w:val="16"/>
    </w:rPr>
  </w:style>
  <w:style w:type="character" w:customStyle="1" w:styleId="35">
    <w:name w:val="表格内容 字符"/>
    <w:basedOn w:val="17"/>
    <w:link w:val="32"/>
    <w:qFormat/>
    <w:uiPriority w:val="0"/>
    <w:rPr>
      <w:rFonts w:ascii="仿宋" w:hAnsi="仿宋" w:eastAsia="仿宋"/>
      <w:color w:val="000000"/>
      <w:kern w:val="2"/>
      <w:sz w:val="21"/>
      <w:szCs w:val="21"/>
    </w:rPr>
  </w:style>
  <w:style w:type="character" w:customStyle="1" w:styleId="36">
    <w:name w:val="表格内容2 字符"/>
    <w:basedOn w:val="35"/>
    <w:link w:val="34"/>
    <w:qFormat/>
    <w:uiPriority w:val="0"/>
    <w:rPr>
      <w:rFonts w:ascii="仿宋" w:hAnsi="仿宋" w:eastAsia="仿宋"/>
      <w:color w:val="000000"/>
      <w:kern w:val="2"/>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3055</Words>
  <Characters>5201</Characters>
  <Lines>104</Lines>
  <Paragraphs>29</Paragraphs>
  <TotalTime>97</TotalTime>
  <ScaleCrop>false</ScaleCrop>
  <LinksUpToDate>false</LinksUpToDate>
  <CharactersWithSpaces>5249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2021-05-25T18:34:00Z</dcterms:created>
  <dc:creator>1124053244@qq.com</dc:creator>
  <cp:lastModifiedBy>Z</cp:lastModifiedBy>
  <dcterms:modified xsi:type="dcterms:W3CDTF">2025-12-16T02:18:18Z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AC4779BFBB5D4D259CE1E2C92DC7842A_13</vt:lpwstr>
  </property>
  <property fmtid="{D5CDD505-2E9C-101B-9397-08002B2CF9AE}" pid="4" name="KSOTemplateDocerSaveRecord">
    <vt:lpwstr>eyJoZGlkIjoiY2JlMTRkNWQwMWQ5ZWQ0ZmVkY2IxZGUyZThhMjZlYzAiLCJ1c2VySWQiOiIyMzE3NjQzNDIifQ==</vt:lpwstr>
  </property>
</Properties>
</file>